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1"/>
        <w:tblW w:w="13220" w:type="dxa"/>
        <w:tblLook w:val="0420" w:firstRow="1" w:lastRow="0" w:firstColumn="0" w:lastColumn="0" w:noHBand="0" w:noVBand="1"/>
      </w:tblPr>
      <w:tblGrid>
        <w:gridCol w:w="2415"/>
        <w:gridCol w:w="3790"/>
        <w:gridCol w:w="3600"/>
        <w:gridCol w:w="3415"/>
      </w:tblGrid>
      <w:tr w:rsidR="00B312F6" w:rsidRPr="00234327" w14:paraId="783F8ACB" w14:textId="77777777" w:rsidTr="64EA4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  <w:tblHeader/>
        </w:trPr>
        <w:tc>
          <w:tcPr>
            <w:tcW w:w="13220" w:type="dxa"/>
            <w:gridSpan w:val="4"/>
          </w:tcPr>
          <w:p w14:paraId="45109F16" w14:textId="49E5AC2F" w:rsidR="00B312F6" w:rsidRPr="00432497" w:rsidRDefault="00B312F6" w:rsidP="00B312F6">
            <w:pPr>
              <w:jc w:val="center"/>
              <w:rPr>
                <w:sz w:val="32"/>
                <w:szCs w:val="32"/>
              </w:rPr>
            </w:pPr>
            <w:r w:rsidRPr="00432497">
              <w:rPr>
                <w:sz w:val="32"/>
                <w:szCs w:val="32"/>
              </w:rPr>
              <w:t xml:space="preserve">Evaluating </w:t>
            </w:r>
            <w:r w:rsidR="00432497">
              <w:rPr>
                <w:sz w:val="32"/>
                <w:szCs w:val="32"/>
              </w:rPr>
              <w:t xml:space="preserve">ECEC </w:t>
            </w:r>
            <w:r w:rsidRPr="00432497">
              <w:rPr>
                <w:sz w:val="32"/>
                <w:szCs w:val="32"/>
              </w:rPr>
              <w:t>Funding Mechanisms</w:t>
            </w:r>
          </w:p>
        </w:tc>
      </w:tr>
      <w:tr w:rsidR="00CA18A2" w:rsidRPr="00234327" w14:paraId="781DA1FA" w14:textId="77777777" w:rsidTr="00AF3B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7"/>
          <w:tblHeader/>
        </w:trPr>
        <w:tc>
          <w:tcPr>
            <w:tcW w:w="2415" w:type="dxa"/>
            <w:vAlign w:val="center"/>
            <w:hideMark/>
          </w:tcPr>
          <w:p w14:paraId="3E8FFA57" w14:textId="77777777" w:rsidR="008640C1" w:rsidRPr="00AF3B63" w:rsidRDefault="008640C1" w:rsidP="00AF3B63">
            <w:pPr>
              <w:jc w:val="center"/>
              <w:rPr>
                <w:sz w:val="32"/>
                <w:szCs w:val="32"/>
              </w:rPr>
            </w:pPr>
            <w:r w:rsidRPr="00AF3B63">
              <w:rPr>
                <w:sz w:val="32"/>
                <w:szCs w:val="32"/>
              </w:rPr>
              <w:t>Mechanism</w:t>
            </w:r>
          </w:p>
        </w:tc>
        <w:tc>
          <w:tcPr>
            <w:tcW w:w="3790" w:type="dxa"/>
            <w:vAlign w:val="center"/>
            <w:hideMark/>
          </w:tcPr>
          <w:p w14:paraId="3A33DAD7" w14:textId="77777777" w:rsidR="008640C1" w:rsidRPr="00AF3B63" w:rsidRDefault="008640C1" w:rsidP="00AF3B63">
            <w:pPr>
              <w:jc w:val="center"/>
              <w:rPr>
                <w:sz w:val="32"/>
                <w:szCs w:val="32"/>
              </w:rPr>
            </w:pPr>
            <w:r w:rsidRPr="00AF3B63">
              <w:rPr>
                <w:sz w:val="32"/>
                <w:szCs w:val="32"/>
              </w:rPr>
              <w:t>Pros</w:t>
            </w:r>
          </w:p>
        </w:tc>
        <w:tc>
          <w:tcPr>
            <w:tcW w:w="3600" w:type="dxa"/>
            <w:vAlign w:val="center"/>
            <w:hideMark/>
          </w:tcPr>
          <w:p w14:paraId="725F333C" w14:textId="77777777" w:rsidR="008640C1" w:rsidRPr="00AF3B63" w:rsidRDefault="008640C1" w:rsidP="00AF3B63">
            <w:pPr>
              <w:jc w:val="center"/>
              <w:rPr>
                <w:sz w:val="32"/>
                <w:szCs w:val="32"/>
              </w:rPr>
            </w:pPr>
            <w:r w:rsidRPr="00AF3B63">
              <w:rPr>
                <w:sz w:val="32"/>
                <w:szCs w:val="32"/>
              </w:rPr>
              <w:t>Cons</w:t>
            </w:r>
          </w:p>
        </w:tc>
        <w:tc>
          <w:tcPr>
            <w:tcW w:w="3415" w:type="dxa"/>
            <w:hideMark/>
          </w:tcPr>
          <w:p w14:paraId="0ABA6374" w14:textId="258FBE1B" w:rsidR="00200833" w:rsidRPr="00674AE6" w:rsidRDefault="008640C1" w:rsidP="00674AE6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674AE6">
              <w:rPr>
                <w:sz w:val="28"/>
                <w:szCs w:val="28"/>
              </w:rPr>
              <w:t>When is this mechanism most appropriate?</w:t>
            </w:r>
          </w:p>
          <w:p w14:paraId="493D696D" w14:textId="4BAEC4A2" w:rsidR="008640C1" w:rsidRPr="00234327" w:rsidRDefault="64EA46CC" w:rsidP="00E11F46">
            <w:pPr>
              <w:jc w:val="center"/>
            </w:pPr>
            <w:r w:rsidRPr="00E11F46">
              <w:rPr>
                <w:sz w:val="18"/>
                <w:szCs w:val="18"/>
              </w:rPr>
              <w:t>(</w:t>
            </w:r>
            <w:r w:rsidRPr="00E11F46">
              <w:rPr>
                <w:b w:val="0"/>
                <w:bCs w:val="0"/>
                <w:sz w:val="18"/>
                <w:szCs w:val="18"/>
              </w:rPr>
              <w:t>e.g.,</w:t>
            </w:r>
            <w:r w:rsidRPr="00E11F46">
              <w:rPr>
                <w:sz w:val="18"/>
                <w:szCs w:val="18"/>
              </w:rPr>
              <w:t xml:space="preserve"> for whom, in what context, with what guardrails, for which programs</w:t>
            </w:r>
            <w:r w:rsidRPr="00E11F46">
              <w:rPr>
                <w:b w:val="0"/>
                <w:bCs w:val="0"/>
                <w:sz w:val="18"/>
                <w:szCs w:val="18"/>
              </w:rPr>
              <w:t>, etc.</w:t>
            </w:r>
            <w:r w:rsidRPr="00E11F46">
              <w:rPr>
                <w:sz w:val="18"/>
                <w:szCs w:val="18"/>
              </w:rPr>
              <w:t>)</w:t>
            </w:r>
          </w:p>
        </w:tc>
      </w:tr>
      <w:tr w:rsidR="008640C1" w:rsidRPr="00234327" w14:paraId="0ECC7ADE" w14:textId="77777777" w:rsidTr="00EC3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tcW w:w="2415" w:type="dxa"/>
            <w:shd w:val="clear" w:color="auto" w:fill="FFFFFF" w:themeFill="background1"/>
            <w:hideMark/>
          </w:tcPr>
          <w:p w14:paraId="4FD75F38" w14:textId="6CD805C8" w:rsidR="008640C1" w:rsidRPr="00A14533" w:rsidRDefault="008640C1" w:rsidP="000549F8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Competitive bid</w:t>
            </w:r>
          </w:p>
          <w:p w14:paraId="53F8DC19" w14:textId="77777777" w:rsidR="008640C1" w:rsidRDefault="008640C1" w:rsidP="000549F8">
            <w:pPr>
              <w:spacing w:before="120" w:after="120"/>
            </w:pPr>
            <w:r w:rsidRPr="00234327">
              <w:t>Programs apply for funds, which are awarded based on quality of application and any priority areas.</w:t>
            </w:r>
          </w:p>
          <w:p w14:paraId="7A59C138" w14:textId="77777777" w:rsidR="008640C1" w:rsidRDefault="008640C1" w:rsidP="000549F8">
            <w:pPr>
              <w:spacing w:before="120" w:after="120"/>
            </w:pPr>
          </w:p>
          <w:p w14:paraId="25E1B8B8" w14:textId="77777777" w:rsidR="007019A2" w:rsidRDefault="007019A2" w:rsidP="004300BD">
            <w:pPr>
              <w:spacing w:before="120" w:after="120"/>
            </w:pPr>
          </w:p>
          <w:p w14:paraId="23DBF3E0" w14:textId="6F1F7BEA" w:rsidR="007019A2" w:rsidRPr="00234327" w:rsidRDefault="007019A2" w:rsidP="000549F8">
            <w:pPr>
              <w:spacing w:before="120" w:after="120"/>
            </w:pPr>
          </w:p>
        </w:tc>
        <w:tc>
          <w:tcPr>
            <w:tcW w:w="3790" w:type="dxa"/>
            <w:shd w:val="clear" w:color="auto" w:fill="FFFFFF" w:themeFill="background1"/>
            <w:hideMark/>
          </w:tcPr>
          <w:p w14:paraId="329F9FAD" w14:textId="77777777" w:rsidR="008640C1" w:rsidRPr="00234327" w:rsidRDefault="008640C1" w:rsidP="000549F8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Funds may be sent to non-governmental entities</w:t>
            </w:r>
          </w:p>
          <w:p w14:paraId="30BD7934" w14:textId="77777777" w:rsidR="008640C1" w:rsidRPr="00234327" w:rsidRDefault="008640C1" w:rsidP="000549F8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Quality and accountability requirements can be written into the RFP</w:t>
            </w:r>
          </w:p>
          <w:p w14:paraId="6FDF930F" w14:textId="77777777" w:rsidR="008640C1" w:rsidRPr="00234327" w:rsidRDefault="008640C1" w:rsidP="000549F8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Priority can be given to high-need communities</w:t>
            </w:r>
          </w:p>
          <w:p w14:paraId="6F19981D" w14:textId="77777777" w:rsidR="008640C1" w:rsidRPr="00234327" w:rsidRDefault="008640C1" w:rsidP="000549F8">
            <w:pPr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Can be weighted to support equitable distribution of resources</w:t>
            </w:r>
          </w:p>
        </w:tc>
        <w:tc>
          <w:tcPr>
            <w:tcW w:w="3600" w:type="dxa"/>
            <w:shd w:val="clear" w:color="auto" w:fill="FFFFFF" w:themeFill="background1"/>
            <w:hideMark/>
          </w:tcPr>
          <w:p w14:paraId="43ED7F81" w14:textId="77777777" w:rsidR="008640C1" w:rsidRPr="00234327" w:rsidRDefault="008640C1" w:rsidP="000549F8">
            <w:pPr>
              <w:numPr>
                <w:ilvl w:val="0"/>
                <w:numId w:val="1"/>
              </w:numPr>
              <w:tabs>
                <w:tab w:val="clear" w:pos="360"/>
              </w:tabs>
              <w:spacing w:before="120" w:after="120"/>
            </w:pPr>
            <w:r w:rsidRPr="00234327">
              <w:t>Privileges communities with resources to successfully apply for funding</w:t>
            </w:r>
          </w:p>
          <w:p w14:paraId="09415228" w14:textId="77777777" w:rsidR="008640C1" w:rsidRPr="00234327" w:rsidRDefault="008640C1" w:rsidP="000549F8">
            <w:pPr>
              <w:numPr>
                <w:ilvl w:val="0"/>
                <w:numId w:val="1"/>
              </w:numPr>
              <w:tabs>
                <w:tab w:val="clear" w:pos="360"/>
              </w:tabs>
              <w:spacing w:before="120" w:after="120"/>
            </w:pPr>
            <w:r w:rsidRPr="00234327">
              <w:t>Short timeline creates environment of uncertainty</w:t>
            </w:r>
          </w:p>
          <w:p w14:paraId="609DA19E" w14:textId="77777777" w:rsidR="008640C1" w:rsidRDefault="008640C1" w:rsidP="000549F8">
            <w:pPr>
              <w:numPr>
                <w:ilvl w:val="0"/>
                <w:numId w:val="1"/>
              </w:numPr>
              <w:tabs>
                <w:tab w:val="clear" w:pos="360"/>
              </w:tabs>
              <w:spacing w:before="120" w:after="120"/>
            </w:pPr>
            <w:r w:rsidRPr="00234327">
              <w:t>Delayed timeline can result in RIFs and rehires</w:t>
            </w:r>
          </w:p>
          <w:p w14:paraId="7F62494E" w14:textId="439EF737" w:rsidR="0003037D" w:rsidRDefault="007776A8" w:rsidP="000549F8">
            <w:pPr>
              <w:numPr>
                <w:ilvl w:val="0"/>
                <w:numId w:val="1"/>
              </w:numPr>
              <w:tabs>
                <w:tab w:val="clear" w:pos="360"/>
              </w:tabs>
              <w:spacing w:before="120" w:after="120"/>
            </w:pPr>
            <w:r>
              <w:t>Very difficult to construct a good competition/RFP—unintended outcomes abound</w:t>
            </w:r>
          </w:p>
          <w:p w14:paraId="29F9774A" w14:textId="78A32354" w:rsidR="0003037D" w:rsidRPr="00234327" w:rsidRDefault="0003037D" w:rsidP="000549F8">
            <w:pPr>
              <w:spacing w:before="120" w:after="120"/>
            </w:pPr>
          </w:p>
        </w:tc>
        <w:tc>
          <w:tcPr>
            <w:tcW w:w="3415" w:type="dxa"/>
            <w:shd w:val="clear" w:color="auto" w:fill="FFFFFF" w:themeFill="background1"/>
            <w:hideMark/>
          </w:tcPr>
          <w:p w14:paraId="6262128B" w14:textId="77777777" w:rsidR="008640C1" w:rsidRPr="00234327" w:rsidRDefault="008640C1" w:rsidP="000549F8">
            <w:pPr>
              <w:spacing w:before="120" w:after="120"/>
            </w:pPr>
          </w:p>
        </w:tc>
      </w:tr>
      <w:tr w:rsidR="00CA18A2" w:rsidRPr="00234327" w14:paraId="1801957D" w14:textId="77777777" w:rsidTr="007019A2">
        <w:trPr>
          <w:trHeight w:val="1134"/>
        </w:trPr>
        <w:tc>
          <w:tcPr>
            <w:tcW w:w="2415" w:type="dxa"/>
            <w:hideMark/>
          </w:tcPr>
          <w:p w14:paraId="1154FD86" w14:textId="5FDFD817" w:rsidR="008640C1" w:rsidRPr="00A14533" w:rsidRDefault="008640C1" w:rsidP="000549F8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Certificate / voucher</w:t>
            </w:r>
          </w:p>
          <w:p w14:paraId="1324AC08" w14:textId="1758516B" w:rsidR="009F6A07" w:rsidRDefault="008640C1" w:rsidP="000549F8">
            <w:pPr>
              <w:spacing w:before="120" w:after="120"/>
            </w:pPr>
            <w:r w:rsidRPr="00234327">
              <w:t>Families apply for eligibility, and funds for each child are sent directly to the provider. There may be a co-pay.</w:t>
            </w:r>
          </w:p>
          <w:p w14:paraId="4EE015D2" w14:textId="77777777" w:rsidR="009F6A07" w:rsidRDefault="009F6A07" w:rsidP="000549F8">
            <w:pPr>
              <w:spacing w:before="120" w:after="120"/>
            </w:pPr>
          </w:p>
          <w:p w14:paraId="55925A15" w14:textId="1ECD8E7D" w:rsidR="009F6A07" w:rsidRPr="00234327" w:rsidRDefault="009F6A07" w:rsidP="000549F8">
            <w:pPr>
              <w:spacing w:before="120" w:after="120"/>
            </w:pPr>
          </w:p>
        </w:tc>
        <w:tc>
          <w:tcPr>
            <w:tcW w:w="3790" w:type="dxa"/>
            <w:hideMark/>
          </w:tcPr>
          <w:p w14:paraId="36BE6248" w14:textId="77777777" w:rsidR="008640C1" w:rsidRDefault="008640C1" w:rsidP="000549F8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Greater flexibility in allocating resources across a large number of providers</w:t>
            </w:r>
          </w:p>
          <w:p w14:paraId="6D15CBA3" w14:textId="77777777" w:rsidR="009F5834" w:rsidRDefault="009F5834" w:rsidP="000549F8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spacing w:before="120" w:after="120"/>
            </w:pPr>
            <w:r>
              <w:t>Readily supports</w:t>
            </w:r>
            <w:r w:rsidR="00F21D93">
              <w:t xml:space="preserve"> subsidized</w:t>
            </w:r>
            <w:r w:rsidR="00C27F35">
              <w:t xml:space="preserve"> children being served together with private pay children</w:t>
            </w:r>
          </w:p>
          <w:p w14:paraId="34E07AB6" w14:textId="044BC08A" w:rsidR="005160C4" w:rsidRPr="00234327" w:rsidRDefault="00346C00" w:rsidP="000549F8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spacing w:before="120" w:after="120"/>
            </w:pPr>
            <w:r>
              <w:t>Accommodates for-profit providers in a straightforward way</w:t>
            </w:r>
          </w:p>
        </w:tc>
        <w:tc>
          <w:tcPr>
            <w:tcW w:w="3600" w:type="dxa"/>
            <w:hideMark/>
          </w:tcPr>
          <w:p w14:paraId="22D0696B" w14:textId="77777777" w:rsidR="008640C1" w:rsidRPr="00234327" w:rsidRDefault="008640C1" w:rsidP="000549F8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Process can be burdensome for families and providers</w:t>
            </w:r>
          </w:p>
          <w:p w14:paraId="3068E46C" w14:textId="77777777" w:rsidR="008640C1" w:rsidRPr="00234327" w:rsidRDefault="008640C1" w:rsidP="000549F8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Child-by-child funding disincentivizes provider spending on compensation or CQI</w:t>
            </w:r>
          </w:p>
          <w:p w14:paraId="42734657" w14:textId="55F74B53" w:rsidR="0003037D" w:rsidRDefault="008640C1" w:rsidP="000549F8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More challenging to apply accountability requirements</w:t>
            </w:r>
          </w:p>
          <w:p w14:paraId="430FBFB4" w14:textId="5B5E550A" w:rsidR="0003037D" w:rsidRPr="00234327" w:rsidRDefault="0003037D" w:rsidP="000549F8">
            <w:pPr>
              <w:spacing w:before="120" w:after="120"/>
            </w:pPr>
          </w:p>
        </w:tc>
        <w:tc>
          <w:tcPr>
            <w:tcW w:w="3415" w:type="dxa"/>
            <w:hideMark/>
          </w:tcPr>
          <w:p w14:paraId="4E3A2645" w14:textId="77777777" w:rsidR="008640C1" w:rsidRPr="00234327" w:rsidRDefault="008640C1" w:rsidP="000549F8">
            <w:pPr>
              <w:spacing w:before="120" w:after="120"/>
            </w:pPr>
          </w:p>
        </w:tc>
      </w:tr>
      <w:tr w:rsidR="008640C1" w:rsidRPr="00234327" w14:paraId="6F36522B" w14:textId="77777777" w:rsidTr="00EC3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5"/>
        </w:trPr>
        <w:tc>
          <w:tcPr>
            <w:tcW w:w="2415" w:type="dxa"/>
            <w:shd w:val="clear" w:color="auto" w:fill="FFFFFF" w:themeFill="background1"/>
            <w:hideMark/>
          </w:tcPr>
          <w:p w14:paraId="764A09EA" w14:textId="2971D0C9" w:rsidR="008640C1" w:rsidRPr="00A14533" w:rsidRDefault="008640C1" w:rsidP="000549F8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lastRenderedPageBreak/>
              <w:t>Formula</w:t>
            </w:r>
          </w:p>
          <w:p w14:paraId="2D12B421" w14:textId="460B5AD9" w:rsidR="007019A2" w:rsidRDefault="008640C1" w:rsidP="004300BD">
            <w:pPr>
              <w:spacing w:before="120" w:after="120"/>
            </w:pPr>
            <w:r w:rsidRPr="00234327">
              <w:t>Per child or per classroom rates are set by local/state level and funds are automatically awarded to programs.</w:t>
            </w:r>
          </w:p>
          <w:p w14:paraId="0FD0A791" w14:textId="3E5063D5" w:rsidR="007019A2" w:rsidRPr="00432497" w:rsidRDefault="007019A2" w:rsidP="000549F8">
            <w:pPr>
              <w:pStyle w:val="ListParagraph"/>
              <w:spacing w:before="120" w:after="120"/>
              <w:ind w:left="360"/>
            </w:pPr>
          </w:p>
        </w:tc>
        <w:tc>
          <w:tcPr>
            <w:tcW w:w="3790" w:type="dxa"/>
            <w:shd w:val="clear" w:color="auto" w:fill="FFFFFF" w:themeFill="background1"/>
            <w:hideMark/>
          </w:tcPr>
          <w:p w14:paraId="2317D28E" w14:textId="77777777" w:rsidR="008640C1" w:rsidRPr="00234327" w:rsidRDefault="008640C1" w:rsidP="000549F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Stability for providers supports long term planning</w:t>
            </w:r>
          </w:p>
          <w:p w14:paraId="0D559997" w14:textId="77777777" w:rsidR="008640C1" w:rsidRDefault="008640C1" w:rsidP="000549F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Can be calculated to support equitable distribution of resources</w:t>
            </w:r>
          </w:p>
          <w:p w14:paraId="63F5631B" w14:textId="55AE27D4" w:rsidR="00213814" w:rsidRPr="00234327" w:rsidRDefault="009E7AB7" w:rsidP="000549F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  <w:r>
              <w:t xml:space="preserve">Can support </w:t>
            </w:r>
            <w:r w:rsidR="00650745">
              <w:t xml:space="preserve">varied </w:t>
            </w:r>
            <w:r w:rsidR="00A0653D">
              <w:t>expectations for local contribution to program</w:t>
            </w:r>
          </w:p>
        </w:tc>
        <w:tc>
          <w:tcPr>
            <w:tcW w:w="3600" w:type="dxa"/>
            <w:shd w:val="clear" w:color="auto" w:fill="FFFFFF" w:themeFill="background1"/>
            <w:hideMark/>
          </w:tcPr>
          <w:p w14:paraId="57E7F4A0" w14:textId="77777777" w:rsidR="008640C1" w:rsidRPr="00234327" w:rsidRDefault="008640C1" w:rsidP="000549F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More challenging to incorporate community need and context into allocations</w:t>
            </w:r>
          </w:p>
          <w:p w14:paraId="6B844DD0" w14:textId="77777777" w:rsidR="008640C1" w:rsidRDefault="008640C1" w:rsidP="000549F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More challenging to apply accountability requirements</w:t>
            </w:r>
          </w:p>
          <w:p w14:paraId="4D3BA1DE" w14:textId="665E6EC0" w:rsidR="005002DF" w:rsidRDefault="008D3F31" w:rsidP="000549F8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spacing w:before="120" w:after="120"/>
            </w:pPr>
            <w:r>
              <w:t xml:space="preserve">More challenging to send funds to non-governmental </w:t>
            </w:r>
            <w:r w:rsidR="00E615DC">
              <w:t>entities</w:t>
            </w:r>
          </w:p>
          <w:p w14:paraId="78A07497" w14:textId="490492A0" w:rsidR="005002DF" w:rsidRPr="00234327" w:rsidRDefault="005002DF" w:rsidP="000549F8">
            <w:pPr>
              <w:spacing w:before="120" w:after="120"/>
            </w:pPr>
          </w:p>
        </w:tc>
        <w:tc>
          <w:tcPr>
            <w:tcW w:w="3415" w:type="dxa"/>
            <w:shd w:val="clear" w:color="auto" w:fill="FFFFFF" w:themeFill="background1"/>
            <w:hideMark/>
          </w:tcPr>
          <w:p w14:paraId="3EA5B639" w14:textId="77777777" w:rsidR="008640C1" w:rsidRPr="00234327" w:rsidRDefault="008640C1" w:rsidP="000549F8">
            <w:pPr>
              <w:spacing w:before="120" w:after="120"/>
            </w:pPr>
          </w:p>
        </w:tc>
      </w:tr>
      <w:tr w:rsidR="00CA18A2" w:rsidRPr="00234327" w14:paraId="7D11BF23" w14:textId="77777777" w:rsidTr="007019A2">
        <w:trPr>
          <w:trHeight w:val="620"/>
        </w:trPr>
        <w:tc>
          <w:tcPr>
            <w:tcW w:w="2415" w:type="dxa"/>
            <w:hideMark/>
          </w:tcPr>
          <w:p w14:paraId="16C6864D" w14:textId="0E636E1D" w:rsidR="008640C1" w:rsidRPr="00A14533" w:rsidRDefault="008640C1" w:rsidP="000549F8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Tuition / fee for service / co-pay</w:t>
            </w:r>
          </w:p>
          <w:p w14:paraId="7CC62AEF" w14:textId="5E3E729F" w:rsidR="009F6A07" w:rsidRDefault="008640C1" w:rsidP="004300BD">
            <w:pPr>
              <w:spacing w:before="120" w:after="120"/>
            </w:pPr>
            <w:r w:rsidRPr="00234327">
              <w:t>Families pay a portion or all of the cost of ECEC for their child.</w:t>
            </w:r>
          </w:p>
          <w:p w14:paraId="11FB2EA4" w14:textId="7BA2E0DB" w:rsidR="009F6A07" w:rsidRPr="00234327" w:rsidRDefault="009F6A07" w:rsidP="000549F8">
            <w:pPr>
              <w:spacing w:before="120" w:after="120"/>
            </w:pPr>
          </w:p>
        </w:tc>
        <w:tc>
          <w:tcPr>
            <w:tcW w:w="3790" w:type="dxa"/>
            <w:hideMark/>
          </w:tcPr>
          <w:p w14:paraId="60485FA7" w14:textId="77777777" w:rsidR="008640C1" w:rsidRPr="00234327" w:rsidRDefault="008640C1" w:rsidP="000549F8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Providers can collect payment directly from families</w:t>
            </w:r>
          </w:p>
          <w:p w14:paraId="538A8513" w14:textId="77777777" w:rsidR="008640C1" w:rsidRPr="00234327" w:rsidRDefault="008640C1" w:rsidP="000549F8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Can supplement public funds received by a provider</w:t>
            </w:r>
          </w:p>
        </w:tc>
        <w:tc>
          <w:tcPr>
            <w:tcW w:w="3600" w:type="dxa"/>
            <w:hideMark/>
          </w:tcPr>
          <w:p w14:paraId="4AE4194C" w14:textId="77777777" w:rsidR="008640C1" w:rsidRDefault="008640C1" w:rsidP="000549F8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spacing w:before="120" w:after="120"/>
            </w:pPr>
            <w:r w:rsidRPr="00234327">
              <w:t>Can be prohibitively expensive for low- and middle-income families</w:t>
            </w:r>
          </w:p>
          <w:p w14:paraId="58112188" w14:textId="1F7E203D" w:rsidR="005002DF" w:rsidRDefault="00BF0FE1" w:rsidP="000549F8">
            <w:pPr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spacing w:before="120" w:after="120"/>
            </w:pPr>
            <w:r>
              <w:t>I</w:t>
            </w:r>
            <w:r w:rsidR="005276C5">
              <w:t>ncents lowest quality parents will accept</w:t>
            </w:r>
          </w:p>
          <w:p w14:paraId="042009F7" w14:textId="24404908" w:rsidR="005002DF" w:rsidRPr="00234327" w:rsidRDefault="005002DF" w:rsidP="000549F8">
            <w:pPr>
              <w:spacing w:before="120" w:after="120"/>
            </w:pPr>
          </w:p>
        </w:tc>
        <w:tc>
          <w:tcPr>
            <w:tcW w:w="3415" w:type="dxa"/>
            <w:hideMark/>
          </w:tcPr>
          <w:p w14:paraId="5C2AF6F6" w14:textId="77777777" w:rsidR="008640C1" w:rsidRPr="00234327" w:rsidRDefault="008640C1" w:rsidP="000549F8">
            <w:pPr>
              <w:spacing w:before="120" w:after="120"/>
            </w:pPr>
          </w:p>
        </w:tc>
      </w:tr>
      <w:tr w:rsidR="008640C1" w14:paraId="7DA464B5" w14:textId="77777777" w:rsidTr="00EC37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5"/>
        </w:trPr>
        <w:tc>
          <w:tcPr>
            <w:tcW w:w="2415" w:type="dxa"/>
            <w:shd w:val="clear" w:color="auto" w:fill="FFFFFF" w:themeFill="background1"/>
            <w:hideMark/>
          </w:tcPr>
          <w:p w14:paraId="170C1E4D" w14:textId="1949EF16" w:rsidR="008640C1" w:rsidRDefault="008640C1" w:rsidP="000549F8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t>Non-appropriated funding</w:t>
            </w:r>
          </w:p>
          <w:p w14:paraId="1B88D7CD" w14:textId="3482B6AF" w:rsidR="009F6A07" w:rsidRDefault="00A71293" w:rsidP="004300BD">
            <w:pPr>
              <w:spacing w:before="120" w:after="120"/>
            </w:pPr>
            <w:r>
              <w:t>Funds are allocated and distributed by an entity other than the State of Illinois.</w:t>
            </w:r>
          </w:p>
          <w:p w14:paraId="631C2326" w14:textId="6BCB86F2" w:rsidR="009F6A07" w:rsidRPr="00330904" w:rsidRDefault="009F6A07" w:rsidP="000549F8">
            <w:pPr>
              <w:spacing w:before="120" w:after="120"/>
            </w:pPr>
          </w:p>
        </w:tc>
        <w:tc>
          <w:tcPr>
            <w:tcW w:w="3790" w:type="dxa"/>
            <w:shd w:val="clear" w:color="auto" w:fill="FFFFFF" w:themeFill="background1"/>
            <w:hideMark/>
          </w:tcPr>
          <w:p w14:paraId="3B9FFF04" w14:textId="77777777" w:rsidR="008640C1" w:rsidRDefault="001345A4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 xml:space="preserve">Diverse revenue streams can </w:t>
            </w:r>
            <w:r w:rsidR="00B9795D">
              <w:t xml:space="preserve">help weather fluctuations in state appropriations </w:t>
            </w:r>
          </w:p>
          <w:p w14:paraId="64AEA1B6" w14:textId="120C386B" w:rsidR="00B9795D" w:rsidRDefault="00B9795D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Local funds can supplement limited state funds targeted toward equitable distribution</w:t>
            </w:r>
          </w:p>
        </w:tc>
        <w:tc>
          <w:tcPr>
            <w:tcW w:w="3600" w:type="dxa"/>
            <w:shd w:val="clear" w:color="auto" w:fill="FFFFFF" w:themeFill="background1"/>
            <w:hideMark/>
          </w:tcPr>
          <w:p w14:paraId="14A0917E" w14:textId="1480643E" w:rsidR="005002DF" w:rsidRDefault="001345A4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Limited state authority or flexibility over funding allocation or distribution</w:t>
            </w:r>
          </w:p>
        </w:tc>
        <w:tc>
          <w:tcPr>
            <w:tcW w:w="3415" w:type="dxa"/>
            <w:shd w:val="clear" w:color="auto" w:fill="FFFFFF" w:themeFill="background1"/>
            <w:hideMark/>
          </w:tcPr>
          <w:p w14:paraId="74FC59A4" w14:textId="546E7757" w:rsidR="008640C1" w:rsidRDefault="008640C1" w:rsidP="000549F8">
            <w:pPr>
              <w:spacing w:before="120" w:after="120"/>
            </w:pPr>
          </w:p>
        </w:tc>
      </w:tr>
      <w:tr w:rsidR="00CA18A2" w14:paraId="2F33AC02" w14:textId="77777777" w:rsidTr="007019A2">
        <w:trPr>
          <w:trHeight w:val="1585"/>
        </w:trPr>
        <w:tc>
          <w:tcPr>
            <w:tcW w:w="2415" w:type="dxa"/>
            <w:hideMark/>
          </w:tcPr>
          <w:p w14:paraId="26634810" w14:textId="58B7FB6E" w:rsidR="008640C1" w:rsidRDefault="008640C1" w:rsidP="000549F8">
            <w:pPr>
              <w:spacing w:before="120" w:after="120"/>
              <w:rPr>
                <w:b/>
                <w:bCs/>
              </w:rPr>
            </w:pPr>
            <w:r w:rsidRPr="00A14533">
              <w:rPr>
                <w:b/>
                <w:bCs/>
              </w:rPr>
              <w:lastRenderedPageBreak/>
              <w:t>Tax credits</w:t>
            </w:r>
            <w:r w:rsidR="00A906FE">
              <w:rPr>
                <w:b/>
                <w:bCs/>
              </w:rPr>
              <w:t>/</w:t>
            </w:r>
            <w:r w:rsidR="009C1642">
              <w:rPr>
                <w:b/>
                <w:bCs/>
              </w:rPr>
              <w:t>shelters</w:t>
            </w:r>
          </w:p>
          <w:p w14:paraId="55F25F37" w14:textId="77777777" w:rsidR="00A71293" w:rsidRDefault="00A71293" w:rsidP="000549F8">
            <w:pPr>
              <w:spacing w:before="120" w:after="120"/>
              <w:rPr>
                <w:b/>
                <w:bCs/>
              </w:rPr>
            </w:pPr>
          </w:p>
          <w:p w14:paraId="09725435" w14:textId="459DB94A" w:rsidR="009F6A07" w:rsidRDefault="00724A12" w:rsidP="000549F8">
            <w:pPr>
              <w:spacing w:before="120" w:after="120"/>
            </w:pPr>
            <w:r>
              <w:t xml:space="preserve">Funds are distributed back to businesses or families </w:t>
            </w:r>
            <w:r w:rsidR="009C311E">
              <w:t xml:space="preserve">via credits to </w:t>
            </w:r>
            <w:r w:rsidR="004F33B3">
              <w:t xml:space="preserve">(or reductions in) </w:t>
            </w:r>
            <w:r w:rsidR="009C311E">
              <w:t>taxes owed/paid.</w:t>
            </w:r>
            <w:r w:rsidR="004300BD">
              <w:t xml:space="preserve"> </w:t>
            </w:r>
          </w:p>
          <w:p w14:paraId="57B8E3EA" w14:textId="02153DA4" w:rsidR="009F6A07" w:rsidRPr="009C311E" w:rsidRDefault="009F6A07" w:rsidP="000549F8">
            <w:pPr>
              <w:spacing w:before="120" w:after="120"/>
            </w:pPr>
          </w:p>
        </w:tc>
        <w:tc>
          <w:tcPr>
            <w:tcW w:w="3790" w:type="dxa"/>
            <w:hideMark/>
          </w:tcPr>
          <w:p w14:paraId="2C05655B" w14:textId="00263ACA" w:rsidR="008640C1" w:rsidRDefault="0022597A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 xml:space="preserve">Flexibility of refund means families can use windfall to pay off </w:t>
            </w:r>
          </w:p>
        </w:tc>
        <w:tc>
          <w:tcPr>
            <w:tcW w:w="3600" w:type="dxa"/>
            <w:hideMark/>
          </w:tcPr>
          <w:p w14:paraId="5B5EF936" w14:textId="77777777" w:rsidR="008640C1" w:rsidRDefault="00147EAE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Annual distribution means families rarely plan around them</w:t>
            </w:r>
          </w:p>
          <w:p w14:paraId="159369ED" w14:textId="77777777" w:rsidR="00147EAE" w:rsidRDefault="00512AD6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Only Child Tax Credit is partially refundable</w:t>
            </w:r>
          </w:p>
          <w:p w14:paraId="72820E58" w14:textId="77777777" w:rsidR="0022597A" w:rsidRDefault="0022597A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Current credits determined at the federal level</w:t>
            </w:r>
          </w:p>
          <w:p w14:paraId="5B1DAE48" w14:textId="222A6345" w:rsidR="005002DF" w:rsidRDefault="00E51B49" w:rsidP="000549F8">
            <w:pPr>
              <w:pStyle w:val="ListParagraph"/>
              <w:numPr>
                <w:ilvl w:val="0"/>
                <w:numId w:val="5"/>
              </w:numPr>
              <w:spacing w:before="120" w:after="120"/>
            </w:pPr>
            <w:r>
              <w:t>Deductions favor higher-income families</w:t>
            </w:r>
            <w:bookmarkStart w:id="0" w:name="_GoBack"/>
            <w:bookmarkEnd w:id="0"/>
          </w:p>
          <w:p w14:paraId="3A7E8E30" w14:textId="317760A4" w:rsidR="005002DF" w:rsidRDefault="005002DF" w:rsidP="000549F8">
            <w:pPr>
              <w:spacing w:before="120" w:after="120"/>
            </w:pPr>
          </w:p>
        </w:tc>
        <w:tc>
          <w:tcPr>
            <w:tcW w:w="3415" w:type="dxa"/>
            <w:hideMark/>
          </w:tcPr>
          <w:p w14:paraId="78690C84" w14:textId="5B35ED22" w:rsidR="008640C1" w:rsidRDefault="008640C1" w:rsidP="000549F8">
            <w:pPr>
              <w:spacing w:before="120" w:after="120"/>
            </w:pPr>
          </w:p>
        </w:tc>
      </w:tr>
    </w:tbl>
    <w:p w14:paraId="76FDC67E" w14:textId="77777777" w:rsidR="00203C48" w:rsidRDefault="00203C48"/>
    <w:sectPr w:rsidR="00203C48" w:rsidSect="00CA18A2">
      <w:head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20B31" w14:textId="77777777" w:rsidR="00625EDA" w:rsidRDefault="00625EDA" w:rsidP="00FF384F">
      <w:r>
        <w:separator/>
      </w:r>
    </w:p>
  </w:endnote>
  <w:endnote w:type="continuationSeparator" w:id="0">
    <w:p w14:paraId="3FB72E48" w14:textId="77777777" w:rsidR="00625EDA" w:rsidRDefault="00625EDA" w:rsidP="00FF384F">
      <w:r>
        <w:continuationSeparator/>
      </w:r>
    </w:p>
  </w:endnote>
  <w:endnote w:type="continuationNotice" w:id="1">
    <w:p w14:paraId="0CD82563" w14:textId="77777777" w:rsidR="00625EDA" w:rsidRDefault="00625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39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1B85E7" w14:textId="2307CF67" w:rsidR="0021316A" w:rsidRDefault="0021316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74EABA4" w14:textId="77777777" w:rsidR="0021316A" w:rsidRDefault="002131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C2779" w14:textId="77777777" w:rsidR="00625EDA" w:rsidRDefault="00625EDA" w:rsidP="00FF384F">
      <w:r>
        <w:separator/>
      </w:r>
    </w:p>
  </w:footnote>
  <w:footnote w:type="continuationSeparator" w:id="0">
    <w:p w14:paraId="168D4986" w14:textId="77777777" w:rsidR="00625EDA" w:rsidRDefault="00625EDA" w:rsidP="00FF384F">
      <w:r>
        <w:continuationSeparator/>
      </w:r>
    </w:p>
  </w:footnote>
  <w:footnote w:type="continuationNotice" w:id="1">
    <w:p w14:paraId="50255631" w14:textId="77777777" w:rsidR="00625EDA" w:rsidRDefault="00625E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085DD" w14:textId="7CBC39FE" w:rsidR="00F22C7F" w:rsidRPr="00FF384F" w:rsidRDefault="00F22C7F" w:rsidP="00D87D43">
    <w:pPr>
      <w:spacing w:after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F6C9C" w14:textId="77777777" w:rsidR="00CA18A2" w:rsidRDefault="00CA18A2" w:rsidP="00CA18A2">
    <w:pPr>
      <w:pStyle w:val="Heading2"/>
    </w:pPr>
    <w:r>
      <w:t xml:space="preserve">Early Childhood Funding Commission: Funding Mechanism Working Group </w:t>
    </w:r>
  </w:p>
  <w:p w14:paraId="7662CF5C" w14:textId="6D90DB10" w:rsidR="00CA18A2" w:rsidRDefault="00CA18A2" w:rsidP="00CA18A2">
    <w:pPr>
      <w:spacing w:after="240"/>
    </w:pPr>
    <w:r>
      <w:t>March 2, 2020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C577F"/>
    <w:multiLevelType w:val="hybridMultilevel"/>
    <w:tmpl w:val="BBA2BBBA"/>
    <w:lvl w:ilvl="0" w:tplc="55EEDFF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76C6FE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9CA3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9505D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150BAA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B4E03A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AE0ED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90EB4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9EE09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E1843EF"/>
    <w:multiLevelType w:val="hybridMultilevel"/>
    <w:tmpl w:val="B5DA1FE6"/>
    <w:lvl w:ilvl="0" w:tplc="3A3EAF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F12A3D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6687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1ACA20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18AB9A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B72B55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EEB6848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0ACFF0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016CE2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26D5706F"/>
    <w:multiLevelType w:val="hybridMultilevel"/>
    <w:tmpl w:val="54BC2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CC1374"/>
    <w:multiLevelType w:val="hybridMultilevel"/>
    <w:tmpl w:val="DC08E04A"/>
    <w:lvl w:ilvl="0" w:tplc="3B04519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44A76C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1C1B1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A36A3D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A087BA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EA02B4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00F8911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43C44C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A0E20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6384090C"/>
    <w:multiLevelType w:val="hybridMultilevel"/>
    <w:tmpl w:val="8D8E17BA"/>
    <w:lvl w:ilvl="0" w:tplc="9DAAF36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FAA5B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444926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D88B17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86828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EA8D2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23E7AB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7B8DAA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C12C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27"/>
    <w:rsid w:val="00006A58"/>
    <w:rsid w:val="0003037D"/>
    <w:rsid w:val="000312C3"/>
    <w:rsid w:val="000549F8"/>
    <w:rsid w:val="000A38CF"/>
    <w:rsid w:val="001345A4"/>
    <w:rsid w:val="00147EAE"/>
    <w:rsid w:val="001B1AEA"/>
    <w:rsid w:val="00200833"/>
    <w:rsid w:val="00203C48"/>
    <w:rsid w:val="002046E0"/>
    <w:rsid w:val="0021316A"/>
    <w:rsid w:val="00213814"/>
    <w:rsid w:val="002215A8"/>
    <w:rsid w:val="0022597A"/>
    <w:rsid w:val="00234327"/>
    <w:rsid w:val="0025633E"/>
    <w:rsid w:val="00330904"/>
    <w:rsid w:val="00344A19"/>
    <w:rsid w:val="00346C00"/>
    <w:rsid w:val="003D284F"/>
    <w:rsid w:val="004300BD"/>
    <w:rsid w:val="00432497"/>
    <w:rsid w:val="00455B19"/>
    <w:rsid w:val="00491EDB"/>
    <w:rsid w:val="004B1062"/>
    <w:rsid w:val="004C4CA4"/>
    <w:rsid w:val="004F33B3"/>
    <w:rsid w:val="005002DF"/>
    <w:rsid w:val="00512AD6"/>
    <w:rsid w:val="00513CED"/>
    <w:rsid w:val="005160C4"/>
    <w:rsid w:val="005276C5"/>
    <w:rsid w:val="00625EDA"/>
    <w:rsid w:val="00650745"/>
    <w:rsid w:val="00674AE6"/>
    <w:rsid w:val="006A1914"/>
    <w:rsid w:val="007019A2"/>
    <w:rsid w:val="00724A12"/>
    <w:rsid w:val="007776A8"/>
    <w:rsid w:val="007A32C2"/>
    <w:rsid w:val="007F4CA4"/>
    <w:rsid w:val="008640C1"/>
    <w:rsid w:val="008B31F4"/>
    <w:rsid w:val="008D3F31"/>
    <w:rsid w:val="009B1EE0"/>
    <w:rsid w:val="009C1642"/>
    <w:rsid w:val="009C311E"/>
    <w:rsid w:val="009E7AB7"/>
    <w:rsid w:val="009F0182"/>
    <w:rsid w:val="009F5834"/>
    <w:rsid w:val="009F6A07"/>
    <w:rsid w:val="00A0653D"/>
    <w:rsid w:val="00A14533"/>
    <w:rsid w:val="00A67A1F"/>
    <w:rsid w:val="00A71293"/>
    <w:rsid w:val="00A8522B"/>
    <w:rsid w:val="00A906FE"/>
    <w:rsid w:val="00A9366D"/>
    <w:rsid w:val="00AA5255"/>
    <w:rsid w:val="00AF0D43"/>
    <w:rsid w:val="00AF3B63"/>
    <w:rsid w:val="00B312F6"/>
    <w:rsid w:val="00B451EF"/>
    <w:rsid w:val="00B5079A"/>
    <w:rsid w:val="00B9795D"/>
    <w:rsid w:val="00BF0FE1"/>
    <w:rsid w:val="00C27F35"/>
    <w:rsid w:val="00C672DC"/>
    <w:rsid w:val="00C81637"/>
    <w:rsid w:val="00CA18A2"/>
    <w:rsid w:val="00CB323E"/>
    <w:rsid w:val="00CC7287"/>
    <w:rsid w:val="00CD7E43"/>
    <w:rsid w:val="00D7390E"/>
    <w:rsid w:val="00D87D43"/>
    <w:rsid w:val="00DA1F7F"/>
    <w:rsid w:val="00E03C85"/>
    <w:rsid w:val="00E10B59"/>
    <w:rsid w:val="00E11F46"/>
    <w:rsid w:val="00E42B50"/>
    <w:rsid w:val="00E51B49"/>
    <w:rsid w:val="00E615DC"/>
    <w:rsid w:val="00EC37B5"/>
    <w:rsid w:val="00EC75C6"/>
    <w:rsid w:val="00F21D93"/>
    <w:rsid w:val="00F22C7F"/>
    <w:rsid w:val="00F664FE"/>
    <w:rsid w:val="00FF384F"/>
    <w:rsid w:val="54D6A99C"/>
    <w:rsid w:val="64EA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0CF7C"/>
  <w15:chartTrackingRefBased/>
  <w15:docId w15:val="{8E6C8C23-4B3B-4CD9-91E8-1C4A5737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38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22C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38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384F"/>
  </w:style>
  <w:style w:type="paragraph" w:styleId="Footer">
    <w:name w:val="footer"/>
    <w:basedOn w:val="Normal"/>
    <w:link w:val="FooterChar"/>
    <w:uiPriority w:val="99"/>
    <w:unhideWhenUsed/>
    <w:rsid w:val="00FF38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384F"/>
  </w:style>
  <w:style w:type="character" w:customStyle="1" w:styleId="Heading2Char">
    <w:name w:val="Heading 2 Char"/>
    <w:basedOn w:val="DefaultParagraphFont"/>
    <w:link w:val="Heading2"/>
    <w:uiPriority w:val="9"/>
    <w:rsid w:val="00FF38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22C7F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640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40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40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0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0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0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0C1"/>
    <w:rPr>
      <w:rFonts w:ascii="Segoe UI" w:hAnsi="Segoe UI" w:cs="Segoe UI"/>
      <w:sz w:val="18"/>
      <w:szCs w:val="18"/>
    </w:rPr>
  </w:style>
  <w:style w:type="table" w:styleId="GridTable4-Accent1">
    <w:name w:val="Grid Table 4 Accent 1"/>
    <w:basedOn w:val="TableNormal"/>
    <w:uiPriority w:val="49"/>
    <w:rsid w:val="00432497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4324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0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88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7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06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6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61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2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6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41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20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8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27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9" ma:contentTypeDescription="Create a new document." ma:contentTypeScope="" ma:versionID="1ef2159b2c6b8fe9c792c171176eace2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98bb4c7522837cff78010e5c68bb327d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A3282-8F58-4CFA-B91C-10404AD7E2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FDC6E0-4E0E-454F-85D9-50330BA93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963995-2476-4003-90b9-dd28f8ee26fe"/>
    <ds:schemaRef ds:uri="eed1c6dd-e0c0-4c09-a491-0b52034e33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89BF97-A414-4E93-AF30-A06599B575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CB2D3C-E645-4AC8-B7D7-3E62FBA87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Morrison-Reed</dc:creator>
  <cp:keywords/>
  <dc:description/>
  <cp:lastModifiedBy>Patten, Bethany</cp:lastModifiedBy>
  <cp:revision>12</cp:revision>
  <cp:lastPrinted>2020-03-01T19:15:00Z</cp:lastPrinted>
  <dcterms:created xsi:type="dcterms:W3CDTF">2020-03-01T19:15:00Z</dcterms:created>
  <dcterms:modified xsi:type="dcterms:W3CDTF">2020-05-05T14:50:00Z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