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EB297" w14:textId="77777777" w:rsidR="00224A1E" w:rsidRDefault="00224A1E" w:rsidP="00224A1E">
      <w:pPr>
        <w:pStyle w:val="Heading1"/>
        <w:jc w:val="center"/>
      </w:pPr>
      <w:r>
        <w:t xml:space="preserve">Feedback from Working Group Members: </w:t>
      </w:r>
      <w:r w:rsidRPr="00224A1E">
        <w:rPr>
          <w:u w:val="single"/>
        </w:rPr>
        <w:t>Funding Mechanism</w:t>
      </w:r>
      <w:r>
        <w:t xml:space="preserve"> Topics</w:t>
      </w:r>
    </w:p>
    <w:p w14:paraId="280630AF" w14:textId="77777777" w:rsidR="00224A1E" w:rsidRDefault="00224A1E" w:rsidP="00224A1E">
      <w:pPr>
        <w:rPr>
          <w:rFonts w:asciiTheme="minorHAnsi" w:hAnsiTheme="minorHAnsi" w:cstheme="minorHAnsi"/>
        </w:rPr>
      </w:pPr>
    </w:p>
    <w:p w14:paraId="10867DB9" w14:textId="77777777" w:rsidR="00224A1E" w:rsidRDefault="00224A1E" w:rsidP="00224A1E">
      <w:pPr>
        <w:rPr>
          <w:rFonts w:asciiTheme="minorHAnsi" w:hAnsiTheme="minorHAnsi" w:cstheme="minorHAnsi"/>
        </w:rPr>
      </w:pPr>
      <w:r>
        <w:rPr>
          <w:rFonts w:asciiTheme="minorHAnsi" w:hAnsiTheme="minorHAnsi" w:cstheme="minorHAnsi"/>
        </w:rPr>
        <w:t xml:space="preserve">We compiled and consolidated all feedback received into a single document for the working group discussion. The content is organized by topic and whether the feedback might impact the actual recommendation, context around the recommendation, or implementation considerations.  We will use this as a starting point for the conversation. </w:t>
      </w:r>
    </w:p>
    <w:p w14:paraId="1291D503" w14:textId="77777777" w:rsidR="00224A1E" w:rsidRDefault="00224A1E" w:rsidP="00224A1E">
      <w:pPr>
        <w:rPr>
          <w:rFonts w:asciiTheme="minorHAnsi" w:hAnsiTheme="minorHAnsi" w:cstheme="minorHAnsi"/>
        </w:rPr>
      </w:pPr>
    </w:p>
    <w:p w14:paraId="7FA58D68" w14:textId="77777777" w:rsidR="00224A1E" w:rsidRDefault="00224A1E" w:rsidP="00224A1E">
      <w:pPr>
        <w:rPr>
          <w:rFonts w:asciiTheme="minorHAnsi" w:hAnsiTheme="minorHAnsi" w:cstheme="minorHAnsi"/>
        </w:rPr>
      </w:pPr>
    </w:p>
    <w:tbl>
      <w:tblPr>
        <w:tblStyle w:val="TableGrid"/>
        <w:tblW w:w="5860" w:type="pct"/>
        <w:tblInd w:w="-455" w:type="dxa"/>
        <w:tblLayout w:type="fixed"/>
        <w:tblLook w:val="04A0" w:firstRow="1" w:lastRow="0" w:firstColumn="1" w:lastColumn="0" w:noHBand="0" w:noVBand="1"/>
      </w:tblPr>
      <w:tblGrid>
        <w:gridCol w:w="1530"/>
        <w:gridCol w:w="2880"/>
        <w:gridCol w:w="3386"/>
        <w:gridCol w:w="35"/>
        <w:gridCol w:w="3127"/>
      </w:tblGrid>
      <w:tr w:rsidR="00224A1E" w:rsidRPr="007326DE" w14:paraId="1DDF54F3" w14:textId="77777777" w:rsidTr="002A3D16">
        <w:trPr>
          <w:trHeight w:val="546"/>
          <w:tblHeader/>
        </w:trPr>
        <w:tc>
          <w:tcPr>
            <w:tcW w:w="698" w:type="pct"/>
            <w:shd w:val="clear" w:color="auto" w:fill="D9D9D9" w:themeFill="background1" w:themeFillShade="D9"/>
          </w:tcPr>
          <w:p w14:paraId="0D2ECD43" w14:textId="77777777" w:rsidR="00224A1E" w:rsidRPr="007326DE" w:rsidRDefault="00224A1E" w:rsidP="00F73300">
            <w:pPr>
              <w:rPr>
                <w:rFonts w:asciiTheme="minorHAnsi" w:hAnsiTheme="minorHAnsi" w:cstheme="minorHAnsi"/>
                <w:b/>
                <w:i/>
                <w:sz w:val="22"/>
                <w:szCs w:val="22"/>
              </w:rPr>
            </w:pPr>
            <w:r w:rsidRPr="007326DE">
              <w:rPr>
                <w:rFonts w:asciiTheme="minorHAnsi" w:hAnsiTheme="minorHAnsi" w:cstheme="minorHAnsi"/>
                <w:b/>
                <w:i/>
                <w:sz w:val="22"/>
                <w:szCs w:val="22"/>
              </w:rPr>
              <w:t>Topic</w:t>
            </w:r>
          </w:p>
        </w:tc>
        <w:tc>
          <w:tcPr>
            <w:tcW w:w="1314" w:type="pct"/>
            <w:shd w:val="clear" w:color="auto" w:fill="D9D9D9" w:themeFill="background1" w:themeFillShade="D9"/>
          </w:tcPr>
          <w:p w14:paraId="57854E31" w14:textId="77777777" w:rsidR="00224A1E" w:rsidRPr="007326DE" w:rsidRDefault="00224A1E" w:rsidP="00F73300">
            <w:pPr>
              <w:rPr>
                <w:rFonts w:asciiTheme="minorHAnsi" w:hAnsiTheme="minorHAnsi" w:cstheme="minorHAnsi"/>
                <w:b/>
                <w:i/>
                <w:sz w:val="22"/>
                <w:szCs w:val="22"/>
              </w:rPr>
            </w:pPr>
            <w:r w:rsidRPr="007326DE">
              <w:rPr>
                <w:rFonts w:asciiTheme="minorHAnsi" w:hAnsiTheme="minorHAnsi" w:cstheme="minorHAnsi"/>
                <w:b/>
                <w:i/>
                <w:sz w:val="22"/>
                <w:szCs w:val="22"/>
              </w:rPr>
              <w:t>Change to Recommendation</w:t>
            </w:r>
          </w:p>
        </w:tc>
        <w:tc>
          <w:tcPr>
            <w:tcW w:w="1545" w:type="pct"/>
            <w:shd w:val="clear" w:color="auto" w:fill="D9D9D9" w:themeFill="background1" w:themeFillShade="D9"/>
          </w:tcPr>
          <w:p w14:paraId="30159940" w14:textId="77777777" w:rsidR="00224A1E" w:rsidRPr="007326DE" w:rsidRDefault="00224A1E" w:rsidP="00F73300">
            <w:pPr>
              <w:pStyle w:val="ListParagraph"/>
              <w:ind w:left="360"/>
              <w:rPr>
                <w:rFonts w:asciiTheme="minorHAnsi" w:hAnsiTheme="minorHAnsi" w:cstheme="minorHAnsi"/>
                <w:b/>
                <w:i/>
              </w:rPr>
            </w:pPr>
            <w:r w:rsidRPr="007326DE">
              <w:rPr>
                <w:rFonts w:asciiTheme="minorHAnsi" w:hAnsiTheme="minorHAnsi" w:cstheme="minorHAnsi"/>
                <w:b/>
                <w:i/>
              </w:rPr>
              <w:t>Context</w:t>
            </w:r>
          </w:p>
        </w:tc>
        <w:tc>
          <w:tcPr>
            <w:tcW w:w="1443" w:type="pct"/>
            <w:gridSpan w:val="2"/>
            <w:shd w:val="clear" w:color="auto" w:fill="D9D9D9" w:themeFill="background1" w:themeFillShade="D9"/>
          </w:tcPr>
          <w:p w14:paraId="47A4F1DC" w14:textId="77777777" w:rsidR="00224A1E" w:rsidRPr="007326DE" w:rsidRDefault="00224A1E" w:rsidP="00F73300">
            <w:pPr>
              <w:rPr>
                <w:rFonts w:asciiTheme="minorHAnsi" w:hAnsiTheme="minorHAnsi" w:cstheme="minorHAnsi"/>
                <w:b/>
                <w:i/>
                <w:sz w:val="22"/>
                <w:szCs w:val="22"/>
              </w:rPr>
            </w:pPr>
            <w:r w:rsidRPr="007326DE">
              <w:rPr>
                <w:rFonts w:asciiTheme="minorHAnsi" w:hAnsiTheme="minorHAnsi" w:cstheme="minorHAnsi"/>
                <w:b/>
                <w:i/>
                <w:sz w:val="22"/>
                <w:szCs w:val="22"/>
              </w:rPr>
              <w:t>Implementation</w:t>
            </w:r>
          </w:p>
        </w:tc>
      </w:tr>
      <w:tr w:rsidR="00224A1E" w:rsidRPr="007326DE" w14:paraId="47A0BB4D" w14:textId="77777777" w:rsidTr="002A3D16">
        <w:trPr>
          <w:trHeight w:val="545"/>
        </w:trPr>
        <w:tc>
          <w:tcPr>
            <w:tcW w:w="5000" w:type="pct"/>
            <w:gridSpan w:val="5"/>
            <w:shd w:val="clear" w:color="auto" w:fill="BDD6EE" w:themeFill="accent1" w:themeFillTint="66"/>
          </w:tcPr>
          <w:p w14:paraId="1BCAA175" w14:textId="77777777" w:rsidR="00224A1E" w:rsidRPr="007326DE" w:rsidRDefault="00224A1E" w:rsidP="00F73300">
            <w:pPr>
              <w:rPr>
                <w:rFonts w:asciiTheme="minorHAnsi" w:hAnsiTheme="minorHAnsi" w:cstheme="minorHAnsi"/>
                <w:b/>
                <w:sz w:val="22"/>
                <w:szCs w:val="22"/>
              </w:rPr>
            </w:pPr>
            <w:r w:rsidRPr="007326DE">
              <w:rPr>
                <w:rFonts w:asciiTheme="minorHAnsi" w:hAnsiTheme="minorHAnsi" w:cstheme="minorHAnsi"/>
                <w:b/>
                <w:sz w:val="22"/>
                <w:szCs w:val="22"/>
              </w:rPr>
              <w:t>Funding Mechanisms Topics</w:t>
            </w:r>
          </w:p>
        </w:tc>
      </w:tr>
      <w:tr w:rsidR="00224A1E" w:rsidRPr="007326DE" w14:paraId="36F1DCF2" w14:textId="77777777" w:rsidTr="002A3D16">
        <w:trPr>
          <w:trHeight w:val="1907"/>
        </w:trPr>
        <w:tc>
          <w:tcPr>
            <w:tcW w:w="698" w:type="pct"/>
          </w:tcPr>
          <w:p w14:paraId="7C3E62D8" w14:textId="77777777" w:rsidR="00224A1E" w:rsidRPr="007326DE" w:rsidRDefault="00224A1E" w:rsidP="00F73300">
            <w:pPr>
              <w:rPr>
                <w:rFonts w:asciiTheme="minorHAnsi" w:hAnsiTheme="minorHAnsi" w:cstheme="minorHAnsi"/>
                <w:color w:val="000000" w:themeColor="text1"/>
                <w:sz w:val="22"/>
                <w:szCs w:val="22"/>
              </w:rPr>
            </w:pPr>
            <w:r w:rsidRPr="007326DE">
              <w:rPr>
                <w:rFonts w:asciiTheme="minorHAnsi" w:hAnsiTheme="minorHAnsi" w:cstheme="minorHAnsi"/>
                <w:color w:val="000000" w:themeColor="text1"/>
                <w:sz w:val="22"/>
                <w:szCs w:val="22"/>
              </w:rPr>
              <w:t>Contracts and Vouchers</w:t>
            </w:r>
          </w:p>
        </w:tc>
        <w:tc>
          <w:tcPr>
            <w:tcW w:w="1314" w:type="pct"/>
          </w:tcPr>
          <w:p w14:paraId="0062EB90" w14:textId="6BEC4259" w:rsidR="00224A1E" w:rsidRPr="007326DE" w:rsidRDefault="00224A1E" w:rsidP="00F73300">
            <w:pPr>
              <w:rPr>
                <w:rFonts w:asciiTheme="minorHAnsi" w:hAnsiTheme="minorHAnsi" w:cstheme="minorHAnsi"/>
                <w:color w:val="000000" w:themeColor="text1"/>
                <w:sz w:val="22"/>
                <w:szCs w:val="22"/>
              </w:rPr>
            </w:pPr>
            <w:r w:rsidRPr="007326DE">
              <w:rPr>
                <w:rFonts w:asciiTheme="minorHAnsi" w:hAnsiTheme="minorHAnsi" w:cstheme="minorHAnsi"/>
                <w:color w:val="000000" w:themeColor="text1"/>
                <w:sz w:val="22"/>
                <w:szCs w:val="22"/>
              </w:rPr>
              <w:t>Must grapple with contract vs</w:t>
            </w:r>
            <w:r w:rsidR="00514B5B">
              <w:rPr>
                <w:rFonts w:asciiTheme="minorHAnsi" w:hAnsiTheme="minorHAnsi" w:cstheme="minorHAnsi"/>
                <w:color w:val="000000" w:themeColor="text1"/>
                <w:sz w:val="22"/>
                <w:szCs w:val="22"/>
              </w:rPr>
              <w:t>.</w:t>
            </w:r>
            <w:r w:rsidRPr="007326DE">
              <w:rPr>
                <w:rFonts w:asciiTheme="minorHAnsi" w:hAnsiTheme="minorHAnsi" w:cstheme="minorHAnsi"/>
                <w:color w:val="000000" w:themeColor="text1"/>
                <w:sz w:val="22"/>
                <w:szCs w:val="22"/>
              </w:rPr>
              <w:t xml:space="preserve"> voucher</w:t>
            </w:r>
            <w:r w:rsidR="00514B5B">
              <w:rPr>
                <w:rFonts w:asciiTheme="minorHAnsi" w:hAnsiTheme="minorHAnsi" w:cstheme="minorHAnsi"/>
                <w:color w:val="000000" w:themeColor="text1"/>
                <w:sz w:val="22"/>
                <w:szCs w:val="22"/>
              </w:rPr>
              <w:t xml:space="preserve"> questions in the</w:t>
            </w:r>
            <w:r w:rsidRPr="007326DE">
              <w:rPr>
                <w:rFonts w:asciiTheme="minorHAnsi" w:hAnsiTheme="minorHAnsi" w:cstheme="minorHAnsi"/>
                <w:color w:val="000000" w:themeColor="text1"/>
                <w:sz w:val="22"/>
                <w:szCs w:val="22"/>
              </w:rPr>
              <w:t xml:space="preserve"> external feedback.</w:t>
            </w:r>
          </w:p>
        </w:tc>
        <w:tc>
          <w:tcPr>
            <w:tcW w:w="1561" w:type="pct"/>
            <w:gridSpan w:val="2"/>
          </w:tcPr>
          <w:p w14:paraId="6DF3A6C9" w14:textId="7AE51CF3" w:rsidR="00224A1E" w:rsidRPr="007326DE" w:rsidRDefault="00224A1E" w:rsidP="00F73300">
            <w:pPr>
              <w:rPr>
                <w:rFonts w:asciiTheme="minorHAnsi" w:hAnsiTheme="minorHAnsi" w:cstheme="minorHAnsi"/>
                <w:color w:val="000000" w:themeColor="text1"/>
                <w:sz w:val="22"/>
                <w:szCs w:val="22"/>
              </w:rPr>
            </w:pPr>
            <w:r w:rsidRPr="007326DE">
              <w:rPr>
                <w:rFonts w:asciiTheme="minorHAnsi" w:hAnsiTheme="minorHAnsi" w:cstheme="minorHAnsi"/>
                <w:color w:val="000000" w:themeColor="text1"/>
                <w:sz w:val="22"/>
                <w:szCs w:val="22"/>
              </w:rPr>
              <w:t xml:space="preserve">Could </w:t>
            </w:r>
            <w:r w:rsidR="00514B5B">
              <w:rPr>
                <w:rFonts w:asciiTheme="minorHAnsi" w:hAnsiTheme="minorHAnsi" w:cstheme="minorHAnsi"/>
                <w:color w:val="000000" w:themeColor="text1"/>
                <w:sz w:val="22"/>
                <w:szCs w:val="22"/>
              </w:rPr>
              <w:t xml:space="preserve">the </w:t>
            </w:r>
            <w:r w:rsidRPr="007326DE">
              <w:rPr>
                <w:rFonts w:asciiTheme="minorHAnsi" w:hAnsiTheme="minorHAnsi" w:cstheme="minorHAnsi"/>
                <w:color w:val="000000" w:themeColor="text1"/>
                <w:sz w:val="22"/>
                <w:szCs w:val="22"/>
              </w:rPr>
              <w:t xml:space="preserve">report discuss a process for phasing in contracts and a dual system while this happens?  </w:t>
            </w:r>
          </w:p>
          <w:p w14:paraId="3752650F" w14:textId="77777777" w:rsidR="00224A1E" w:rsidRPr="007326DE" w:rsidRDefault="00224A1E" w:rsidP="00F73300">
            <w:pPr>
              <w:rPr>
                <w:rFonts w:asciiTheme="minorHAnsi" w:hAnsiTheme="minorHAnsi" w:cstheme="minorHAnsi"/>
                <w:color w:val="000000" w:themeColor="text1"/>
                <w:sz w:val="22"/>
                <w:szCs w:val="22"/>
              </w:rPr>
            </w:pPr>
          </w:p>
          <w:p w14:paraId="6EFBB1DC" w14:textId="77777777" w:rsidR="00224A1E" w:rsidRPr="007326DE" w:rsidRDefault="00224A1E" w:rsidP="00F73300">
            <w:pPr>
              <w:rPr>
                <w:rFonts w:asciiTheme="minorHAnsi" w:hAnsiTheme="minorHAnsi" w:cstheme="minorHAnsi"/>
                <w:color w:val="000000" w:themeColor="text1"/>
                <w:sz w:val="22"/>
                <w:szCs w:val="22"/>
              </w:rPr>
            </w:pPr>
            <w:r w:rsidRPr="007326DE">
              <w:rPr>
                <w:rFonts w:asciiTheme="minorHAnsi" w:hAnsiTheme="minorHAnsi" w:cstheme="minorHAnsi"/>
                <w:color w:val="000000" w:themeColor="text1"/>
                <w:sz w:val="22"/>
                <w:szCs w:val="22"/>
              </w:rPr>
              <w:t>Spell out clearly if we are doing contracts or vouchers and why.</w:t>
            </w:r>
          </w:p>
        </w:tc>
        <w:tc>
          <w:tcPr>
            <w:tcW w:w="1427" w:type="pct"/>
          </w:tcPr>
          <w:p w14:paraId="4F6A2A9E" w14:textId="7E7A4520" w:rsidR="00224A1E" w:rsidRPr="007326DE" w:rsidRDefault="00224A1E" w:rsidP="00F73300">
            <w:pPr>
              <w:rPr>
                <w:rFonts w:asciiTheme="minorHAnsi" w:hAnsiTheme="minorHAnsi" w:cstheme="minorHAnsi"/>
                <w:color w:val="000000" w:themeColor="text1"/>
                <w:sz w:val="22"/>
                <w:szCs w:val="22"/>
              </w:rPr>
            </w:pPr>
            <w:r w:rsidRPr="007326DE">
              <w:rPr>
                <w:rFonts w:asciiTheme="minorHAnsi" w:hAnsiTheme="minorHAnsi" w:cstheme="minorHAnsi"/>
                <w:color w:val="000000" w:themeColor="text1"/>
                <w:sz w:val="22"/>
                <w:szCs w:val="22"/>
              </w:rPr>
              <w:t>Not ready to go to all contracts. Will need to phase in. Also, will likely always be a need for some vouchers (</w:t>
            </w:r>
            <w:r w:rsidR="00514B5B">
              <w:rPr>
                <w:rFonts w:asciiTheme="minorHAnsi" w:hAnsiTheme="minorHAnsi" w:cstheme="minorHAnsi"/>
                <w:color w:val="000000" w:themeColor="text1"/>
                <w:sz w:val="22"/>
                <w:szCs w:val="22"/>
              </w:rPr>
              <w:t>Family, Friend, and Neighbor?</w:t>
            </w:r>
            <w:r w:rsidRPr="007326DE">
              <w:rPr>
                <w:rFonts w:asciiTheme="minorHAnsi" w:hAnsiTheme="minorHAnsi" w:cstheme="minorHAnsi"/>
                <w:color w:val="000000" w:themeColor="text1"/>
                <w:sz w:val="22"/>
                <w:szCs w:val="22"/>
              </w:rPr>
              <w:t xml:space="preserve"> Centers with few eligible?) </w:t>
            </w:r>
          </w:p>
        </w:tc>
      </w:tr>
      <w:tr w:rsidR="00224A1E" w:rsidRPr="007326DE" w14:paraId="6B3E19A7" w14:textId="77777777" w:rsidTr="002A3D16">
        <w:trPr>
          <w:trHeight w:val="1365"/>
        </w:trPr>
        <w:tc>
          <w:tcPr>
            <w:tcW w:w="698" w:type="pct"/>
          </w:tcPr>
          <w:p w14:paraId="17F96792" w14:textId="0DFFD789" w:rsidR="00224A1E" w:rsidRPr="007326DE" w:rsidRDefault="002A3D16" w:rsidP="00224A1E">
            <w:pPr>
              <w:rPr>
                <w:rFonts w:asciiTheme="minorHAnsi" w:hAnsiTheme="minorHAnsi" w:cstheme="minorHAnsi"/>
                <w:sz w:val="22"/>
                <w:szCs w:val="22"/>
              </w:rPr>
            </w:pPr>
            <w:r>
              <w:rPr>
                <w:rFonts w:asciiTheme="minorHAnsi" w:hAnsiTheme="minorHAnsi" w:cstheme="minorHAnsi"/>
                <w:sz w:val="22"/>
                <w:szCs w:val="22"/>
              </w:rPr>
              <w:t>Provider Accountability in Contracts</w:t>
            </w:r>
          </w:p>
          <w:p w14:paraId="5606FD1E" w14:textId="77777777" w:rsidR="00224A1E" w:rsidRPr="007326DE" w:rsidRDefault="00224A1E" w:rsidP="00224A1E">
            <w:pPr>
              <w:rPr>
                <w:rFonts w:asciiTheme="minorHAnsi" w:hAnsiTheme="minorHAnsi" w:cstheme="minorHAnsi"/>
                <w:sz w:val="22"/>
                <w:szCs w:val="22"/>
              </w:rPr>
            </w:pPr>
          </w:p>
        </w:tc>
        <w:tc>
          <w:tcPr>
            <w:tcW w:w="1314" w:type="pct"/>
          </w:tcPr>
          <w:p w14:paraId="652940C3" w14:textId="77777777" w:rsidR="00224A1E" w:rsidRPr="007326DE" w:rsidRDefault="00224A1E" w:rsidP="00224A1E">
            <w:pPr>
              <w:rPr>
                <w:rFonts w:asciiTheme="minorHAnsi" w:hAnsiTheme="minorHAnsi" w:cstheme="minorHAnsi"/>
                <w:sz w:val="22"/>
                <w:szCs w:val="22"/>
              </w:rPr>
            </w:pPr>
            <w:r w:rsidRPr="007326DE">
              <w:rPr>
                <w:rFonts w:asciiTheme="minorHAnsi" w:hAnsiTheme="minorHAnsi" w:cstheme="minorHAnsi"/>
                <w:sz w:val="22"/>
                <w:szCs w:val="22"/>
              </w:rPr>
              <w:t xml:space="preserve">Ensure accountability mechanisms are clearly outlined in contracts to ensure quality over the contract period. </w:t>
            </w:r>
          </w:p>
        </w:tc>
        <w:tc>
          <w:tcPr>
            <w:tcW w:w="1561" w:type="pct"/>
            <w:gridSpan w:val="2"/>
          </w:tcPr>
          <w:p w14:paraId="7AA66303" w14:textId="77777777" w:rsidR="00224A1E" w:rsidRPr="007326DE" w:rsidRDefault="00224A1E" w:rsidP="00224A1E">
            <w:pPr>
              <w:rPr>
                <w:rFonts w:asciiTheme="minorHAnsi" w:hAnsiTheme="minorHAnsi" w:cstheme="minorHAnsi"/>
                <w:sz w:val="22"/>
                <w:szCs w:val="22"/>
              </w:rPr>
            </w:pPr>
          </w:p>
        </w:tc>
        <w:tc>
          <w:tcPr>
            <w:tcW w:w="1427" w:type="pct"/>
          </w:tcPr>
          <w:p w14:paraId="5C3152B0" w14:textId="77777777" w:rsidR="00224A1E" w:rsidRPr="007326DE" w:rsidRDefault="00224A1E" w:rsidP="00224A1E">
            <w:pPr>
              <w:rPr>
                <w:rFonts w:asciiTheme="minorHAnsi" w:hAnsiTheme="minorHAnsi" w:cstheme="minorHAnsi"/>
                <w:sz w:val="22"/>
                <w:szCs w:val="22"/>
              </w:rPr>
            </w:pPr>
          </w:p>
        </w:tc>
      </w:tr>
      <w:tr w:rsidR="00224A1E" w:rsidRPr="007326DE" w14:paraId="16BD0A24" w14:textId="77777777" w:rsidTr="00514B5B">
        <w:trPr>
          <w:trHeight w:val="2357"/>
        </w:trPr>
        <w:tc>
          <w:tcPr>
            <w:tcW w:w="698" w:type="pct"/>
          </w:tcPr>
          <w:p w14:paraId="486B1534" w14:textId="5F22B3E1" w:rsidR="00224A1E" w:rsidRPr="007326DE" w:rsidRDefault="00224A1E" w:rsidP="001223C1">
            <w:pPr>
              <w:rPr>
                <w:rFonts w:asciiTheme="minorHAnsi" w:hAnsiTheme="minorHAnsi" w:cstheme="minorHAnsi"/>
                <w:sz w:val="22"/>
                <w:szCs w:val="22"/>
              </w:rPr>
            </w:pPr>
            <w:r w:rsidRPr="007326DE">
              <w:rPr>
                <w:rFonts w:asciiTheme="minorHAnsi" w:hAnsiTheme="minorHAnsi" w:cstheme="minorHAnsi"/>
                <w:sz w:val="22"/>
                <w:szCs w:val="22"/>
              </w:rPr>
              <w:t>Funding Allocation</w:t>
            </w:r>
            <w:r w:rsidR="001223C1">
              <w:rPr>
                <w:rFonts w:asciiTheme="minorHAnsi" w:hAnsiTheme="minorHAnsi" w:cstheme="minorHAnsi"/>
                <w:sz w:val="22"/>
                <w:szCs w:val="22"/>
              </w:rPr>
              <w:t xml:space="preserve"> Processes</w:t>
            </w:r>
          </w:p>
        </w:tc>
        <w:tc>
          <w:tcPr>
            <w:tcW w:w="1314" w:type="pct"/>
          </w:tcPr>
          <w:p w14:paraId="4F193758" w14:textId="77777777" w:rsidR="00224A1E" w:rsidRPr="007326DE" w:rsidRDefault="00224A1E" w:rsidP="00224A1E">
            <w:pPr>
              <w:rPr>
                <w:rFonts w:asciiTheme="minorHAnsi" w:hAnsiTheme="minorHAnsi" w:cstheme="minorHAnsi"/>
                <w:sz w:val="22"/>
                <w:szCs w:val="22"/>
              </w:rPr>
            </w:pPr>
          </w:p>
        </w:tc>
        <w:tc>
          <w:tcPr>
            <w:tcW w:w="1561" w:type="pct"/>
            <w:gridSpan w:val="2"/>
          </w:tcPr>
          <w:p w14:paraId="156D0170" w14:textId="77777777" w:rsidR="00224A1E" w:rsidRPr="007326DE" w:rsidRDefault="00224A1E" w:rsidP="00224A1E">
            <w:pPr>
              <w:rPr>
                <w:rFonts w:asciiTheme="minorHAnsi" w:hAnsiTheme="minorHAnsi" w:cstheme="minorHAnsi"/>
                <w:color w:val="000000" w:themeColor="text1"/>
                <w:sz w:val="22"/>
                <w:szCs w:val="22"/>
              </w:rPr>
            </w:pPr>
            <w:r w:rsidRPr="007326DE">
              <w:rPr>
                <w:rFonts w:asciiTheme="minorHAnsi" w:hAnsiTheme="minorHAnsi" w:cstheme="minorHAnsi"/>
                <w:color w:val="000000" w:themeColor="text1"/>
                <w:sz w:val="22"/>
                <w:szCs w:val="22"/>
              </w:rPr>
              <w:t xml:space="preserve">Use data to determine funding priorities across the state, with provider input. </w:t>
            </w:r>
          </w:p>
          <w:p w14:paraId="11DCF0B2" w14:textId="77777777" w:rsidR="00224A1E" w:rsidRPr="007326DE" w:rsidRDefault="00224A1E" w:rsidP="00224A1E">
            <w:pPr>
              <w:rPr>
                <w:rFonts w:asciiTheme="minorHAnsi" w:hAnsiTheme="minorHAnsi" w:cstheme="minorHAnsi"/>
                <w:color w:val="000000" w:themeColor="text1"/>
                <w:sz w:val="22"/>
                <w:szCs w:val="22"/>
              </w:rPr>
            </w:pPr>
          </w:p>
          <w:p w14:paraId="3A5EA917" w14:textId="6AC81D12" w:rsidR="00224A1E" w:rsidRPr="007326DE" w:rsidRDefault="00224A1E" w:rsidP="006D06EF">
            <w:pPr>
              <w:rPr>
                <w:rFonts w:asciiTheme="minorHAnsi" w:hAnsiTheme="minorHAnsi" w:cstheme="minorHAnsi"/>
                <w:color w:val="000000" w:themeColor="text1"/>
                <w:sz w:val="22"/>
                <w:szCs w:val="22"/>
              </w:rPr>
            </w:pPr>
            <w:r w:rsidRPr="007326DE">
              <w:rPr>
                <w:rFonts w:asciiTheme="minorHAnsi" w:hAnsiTheme="minorHAnsi" w:cstheme="minorHAnsi"/>
                <w:color w:val="000000" w:themeColor="text1"/>
                <w:sz w:val="22"/>
                <w:szCs w:val="22"/>
              </w:rPr>
              <w:t>Use external experts to support funding a</w:t>
            </w:r>
            <w:r w:rsidR="00514B5B">
              <w:rPr>
                <w:rFonts w:asciiTheme="minorHAnsi" w:hAnsiTheme="minorHAnsi" w:cstheme="minorHAnsi"/>
                <w:color w:val="000000" w:themeColor="text1"/>
                <w:sz w:val="22"/>
                <w:szCs w:val="22"/>
              </w:rPr>
              <w:t xml:space="preserve">llocation processes to make </w:t>
            </w:r>
            <w:r w:rsidRPr="007326DE">
              <w:rPr>
                <w:rFonts w:asciiTheme="minorHAnsi" w:hAnsiTheme="minorHAnsi" w:cstheme="minorHAnsi"/>
                <w:color w:val="000000" w:themeColor="text1"/>
                <w:sz w:val="22"/>
                <w:szCs w:val="22"/>
              </w:rPr>
              <w:t>it fair and equitable; look to H</w:t>
            </w:r>
            <w:r w:rsidR="006D06EF">
              <w:rPr>
                <w:rFonts w:asciiTheme="minorHAnsi" w:hAnsiTheme="minorHAnsi" w:cstheme="minorHAnsi"/>
                <w:color w:val="000000" w:themeColor="text1"/>
                <w:sz w:val="22"/>
                <w:szCs w:val="22"/>
              </w:rPr>
              <w:t xml:space="preserve">ead Start/ Early Head Start </w:t>
            </w:r>
            <w:r w:rsidRPr="007326DE">
              <w:rPr>
                <w:rFonts w:asciiTheme="minorHAnsi" w:hAnsiTheme="minorHAnsi" w:cstheme="minorHAnsi"/>
                <w:color w:val="000000" w:themeColor="text1"/>
                <w:sz w:val="22"/>
                <w:szCs w:val="22"/>
              </w:rPr>
              <w:t>for examples of this.</w:t>
            </w:r>
          </w:p>
        </w:tc>
        <w:tc>
          <w:tcPr>
            <w:tcW w:w="1427" w:type="pct"/>
          </w:tcPr>
          <w:p w14:paraId="5C89A9DA" w14:textId="77777777" w:rsidR="00224A1E" w:rsidRPr="007326DE" w:rsidRDefault="00224A1E" w:rsidP="00224A1E">
            <w:pPr>
              <w:rPr>
                <w:rFonts w:asciiTheme="minorHAnsi" w:hAnsiTheme="minorHAnsi" w:cstheme="minorHAnsi"/>
                <w:color w:val="000000" w:themeColor="text1"/>
                <w:sz w:val="22"/>
                <w:szCs w:val="22"/>
              </w:rPr>
            </w:pPr>
            <w:r w:rsidRPr="007326DE">
              <w:rPr>
                <w:rFonts w:asciiTheme="minorHAnsi" w:hAnsiTheme="minorHAnsi" w:cstheme="minorHAnsi"/>
                <w:color w:val="000000" w:themeColor="text1"/>
                <w:sz w:val="22"/>
                <w:szCs w:val="22"/>
              </w:rPr>
              <w:t>Conduct a full, formal review/audit of the funding allocation process that is inclusive and brings the voice of users/beneficiaries into the process.</w:t>
            </w:r>
          </w:p>
          <w:p w14:paraId="28460084" w14:textId="77777777" w:rsidR="00224A1E" w:rsidRPr="007326DE" w:rsidRDefault="00224A1E" w:rsidP="00224A1E">
            <w:pPr>
              <w:rPr>
                <w:rFonts w:asciiTheme="minorHAnsi" w:hAnsiTheme="minorHAnsi" w:cstheme="minorHAnsi"/>
                <w:color w:val="000000" w:themeColor="text1"/>
                <w:sz w:val="22"/>
                <w:szCs w:val="22"/>
              </w:rPr>
            </w:pPr>
          </w:p>
          <w:p w14:paraId="208E8625" w14:textId="6ABC70F8" w:rsidR="00224A1E" w:rsidRPr="007326DE" w:rsidRDefault="00224A1E" w:rsidP="00224A1E">
            <w:pPr>
              <w:rPr>
                <w:rFonts w:asciiTheme="minorHAnsi" w:hAnsiTheme="minorHAnsi" w:cstheme="minorHAnsi"/>
                <w:color w:val="000000" w:themeColor="text1"/>
                <w:sz w:val="22"/>
                <w:szCs w:val="22"/>
              </w:rPr>
            </w:pPr>
          </w:p>
        </w:tc>
      </w:tr>
      <w:tr w:rsidR="00224A1E" w:rsidRPr="007326DE" w14:paraId="4250CD23" w14:textId="77777777" w:rsidTr="002A3D16">
        <w:trPr>
          <w:trHeight w:val="1082"/>
        </w:trPr>
        <w:tc>
          <w:tcPr>
            <w:tcW w:w="698" w:type="pct"/>
          </w:tcPr>
          <w:p w14:paraId="6D3AD29A" w14:textId="5DF8E346" w:rsidR="00224A1E" w:rsidRPr="007326DE" w:rsidRDefault="001223C1" w:rsidP="00224A1E">
            <w:pPr>
              <w:rPr>
                <w:rFonts w:asciiTheme="minorHAnsi" w:hAnsiTheme="minorHAnsi" w:cstheme="minorHAnsi"/>
                <w:sz w:val="22"/>
                <w:szCs w:val="22"/>
              </w:rPr>
            </w:pPr>
            <w:r>
              <w:rPr>
                <w:rFonts w:asciiTheme="minorHAnsi" w:hAnsiTheme="minorHAnsi" w:cstheme="minorHAnsi"/>
                <w:sz w:val="22"/>
                <w:szCs w:val="22"/>
              </w:rPr>
              <w:t>Funding Priorities</w:t>
            </w:r>
          </w:p>
        </w:tc>
        <w:tc>
          <w:tcPr>
            <w:tcW w:w="1314" w:type="pct"/>
          </w:tcPr>
          <w:p w14:paraId="30E8A358" w14:textId="1815EDE4" w:rsidR="00224A1E" w:rsidRPr="007326DE" w:rsidRDefault="001223C1" w:rsidP="00224A1E">
            <w:pPr>
              <w:rPr>
                <w:rFonts w:asciiTheme="minorHAnsi" w:hAnsiTheme="minorHAnsi" w:cstheme="minorHAnsi"/>
                <w:sz w:val="22"/>
                <w:szCs w:val="22"/>
              </w:rPr>
            </w:pPr>
            <w:r>
              <w:rPr>
                <w:rFonts w:asciiTheme="minorHAnsi" w:hAnsiTheme="minorHAnsi" w:cstheme="minorHAnsi"/>
                <w:b/>
                <w:sz w:val="22"/>
                <w:szCs w:val="22"/>
              </w:rPr>
              <w:t>Infants/Toddlers</w:t>
            </w:r>
            <w:r w:rsidR="006D06EF">
              <w:rPr>
                <w:rFonts w:asciiTheme="minorHAnsi" w:hAnsiTheme="minorHAnsi" w:cstheme="minorHAnsi"/>
                <w:b/>
                <w:sz w:val="22"/>
                <w:szCs w:val="22"/>
              </w:rPr>
              <w:t xml:space="preserve"> (I/T)</w:t>
            </w:r>
            <w:r>
              <w:rPr>
                <w:rFonts w:asciiTheme="minorHAnsi" w:hAnsiTheme="minorHAnsi" w:cstheme="minorHAnsi"/>
                <w:b/>
                <w:sz w:val="22"/>
                <w:szCs w:val="22"/>
              </w:rPr>
              <w:t xml:space="preserve">: </w:t>
            </w:r>
            <w:r w:rsidR="00224A1E" w:rsidRPr="001223C1">
              <w:rPr>
                <w:rFonts w:asciiTheme="minorHAnsi" w:hAnsiTheme="minorHAnsi" w:cstheme="minorHAnsi"/>
                <w:sz w:val="22"/>
                <w:szCs w:val="22"/>
              </w:rPr>
              <w:t>Recomme</w:t>
            </w:r>
            <w:r w:rsidRPr="001223C1">
              <w:rPr>
                <w:rFonts w:asciiTheme="minorHAnsi" w:hAnsiTheme="minorHAnsi" w:cstheme="minorHAnsi"/>
                <w:sz w:val="22"/>
                <w:szCs w:val="22"/>
              </w:rPr>
              <w:t>ndations</w:t>
            </w:r>
            <w:r>
              <w:rPr>
                <w:rFonts w:asciiTheme="minorHAnsi" w:hAnsiTheme="minorHAnsi" w:cstheme="minorHAnsi"/>
                <w:sz w:val="22"/>
                <w:szCs w:val="22"/>
              </w:rPr>
              <w:t xml:space="preserve"> should include: </w:t>
            </w:r>
          </w:p>
          <w:p w14:paraId="67CF4155" w14:textId="00D4334A" w:rsidR="00224A1E" w:rsidRPr="007326DE" w:rsidRDefault="00224A1E" w:rsidP="00224A1E">
            <w:pPr>
              <w:rPr>
                <w:rFonts w:asciiTheme="minorHAnsi" w:hAnsiTheme="minorHAnsi" w:cstheme="minorHAnsi"/>
                <w:sz w:val="22"/>
                <w:szCs w:val="22"/>
              </w:rPr>
            </w:pPr>
            <w:r w:rsidRPr="007326DE">
              <w:rPr>
                <w:rFonts w:asciiTheme="minorHAnsi" w:hAnsiTheme="minorHAnsi" w:cstheme="minorHAnsi"/>
                <w:sz w:val="22"/>
                <w:szCs w:val="22"/>
              </w:rPr>
              <w:t>1) The state should establish a formal mechanism to then be codified in law that would d</w:t>
            </w:r>
            <w:r w:rsidR="00644ED6">
              <w:rPr>
                <w:rFonts w:asciiTheme="minorHAnsi" w:hAnsiTheme="minorHAnsi" w:cstheme="minorHAnsi"/>
                <w:sz w:val="22"/>
                <w:szCs w:val="22"/>
              </w:rPr>
              <w:t xml:space="preserve">irect portion of ECEC funds to </w:t>
            </w:r>
            <w:r w:rsidR="00644ED6" w:rsidRPr="00644ED6">
              <w:rPr>
                <w:rFonts w:asciiTheme="minorHAnsi" w:hAnsiTheme="minorHAnsi" w:cstheme="minorHAnsi"/>
                <w:sz w:val="22"/>
                <w:szCs w:val="22"/>
              </w:rPr>
              <w:t>Infants/Toddler</w:t>
            </w:r>
            <w:r w:rsidRPr="007326DE">
              <w:rPr>
                <w:rFonts w:asciiTheme="minorHAnsi" w:hAnsiTheme="minorHAnsi" w:cstheme="minorHAnsi"/>
                <w:sz w:val="22"/>
                <w:szCs w:val="22"/>
              </w:rPr>
              <w:t xml:space="preserve"> services,</w:t>
            </w:r>
          </w:p>
          <w:p w14:paraId="150A35F8" w14:textId="5734FBAF" w:rsidR="00224A1E" w:rsidRPr="007326DE" w:rsidRDefault="00224A1E" w:rsidP="00224A1E">
            <w:pPr>
              <w:rPr>
                <w:rFonts w:asciiTheme="minorHAnsi" w:hAnsiTheme="minorHAnsi" w:cstheme="minorHAnsi"/>
                <w:sz w:val="22"/>
                <w:szCs w:val="22"/>
              </w:rPr>
            </w:pPr>
            <w:r w:rsidRPr="007326DE">
              <w:rPr>
                <w:rFonts w:asciiTheme="minorHAnsi" w:hAnsiTheme="minorHAnsi" w:cstheme="minorHAnsi"/>
                <w:sz w:val="22"/>
                <w:szCs w:val="22"/>
              </w:rPr>
              <w:t xml:space="preserve">2) The State should review and recommend appropriate % of funds needed </w:t>
            </w:r>
            <w:r w:rsidR="00644ED6">
              <w:rPr>
                <w:rFonts w:asciiTheme="minorHAnsi" w:hAnsiTheme="minorHAnsi" w:cstheme="minorHAnsi"/>
                <w:sz w:val="22"/>
                <w:szCs w:val="22"/>
              </w:rPr>
              <w:t xml:space="preserve">for </w:t>
            </w:r>
            <w:r w:rsidR="00644ED6" w:rsidRPr="00644ED6">
              <w:rPr>
                <w:rFonts w:asciiTheme="minorHAnsi" w:hAnsiTheme="minorHAnsi" w:cstheme="minorHAnsi"/>
                <w:sz w:val="22"/>
                <w:szCs w:val="22"/>
              </w:rPr>
              <w:t>Infants/Toddler services</w:t>
            </w:r>
            <w:r w:rsidRPr="007326DE">
              <w:rPr>
                <w:rFonts w:asciiTheme="minorHAnsi" w:hAnsiTheme="minorHAnsi" w:cstheme="minorHAnsi"/>
                <w:sz w:val="22"/>
                <w:szCs w:val="22"/>
              </w:rPr>
              <w:t xml:space="preserve">, and </w:t>
            </w:r>
          </w:p>
          <w:p w14:paraId="3B3D870A" w14:textId="47C88A95" w:rsidR="00224A1E" w:rsidRDefault="00224A1E" w:rsidP="00224A1E">
            <w:pPr>
              <w:rPr>
                <w:rFonts w:asciiTheme="minorHAnsi" w:hAnsiTheme="minorHAnsi" w:cstheme="minorHAnsi"/>
                <w:sz w:val="22"/>
                <w:szCs w:val="22"/>
              </w:rPr>
            </w:pPr>
            <w:r w:rsidRPr="007326DE">
              <w:rPr>
                <w:rFonts w:asciiTheme="minorHAnsi" w:hAnsiTheme="minorHAnsi" w:cstheme="minorHAnsi"/>
                <w:sz w:val="22"/>
                <w:szCs w:val="22"/>
              </w:rPr>
              <w:lastRenderedPageBreak/>
              <w:t xml:space="preserve">3) The state should allocate no less than the current % allocated </w:t>
            </w:r>
            <w:r w:rsidR="00644ED6">
              <w:rPr>
                <w:rFonts w:asciiTheme="minorHAnsi" w:hAnsiTheme="minorHAnsi" w:cstheme="minorHAnsi"/>
                <w:sz w:val="22"/>
                <w:szCs w:val="22"/>
              </w:rPr>
              <w:t xml:space="preserve">to </w:t>
            </w:r>
            <w:r w:rsidR="00644ED6" w:rsidRPr="00644ED6">
              <w:rPr>
                <w:rFonts w:asciiTheme="minorHAnsi" w:hAnsiTheme="minorHAnsi" w:cstheme="minorHAnsi"/>
                <w:sz w:val="22"/>
                <w:szCs w:val="22"/>
              </w:rPr>
              <w:t>Infants/Toddler services</w:t>
            </w:r>
            <w:r w:rsidRPr="007326DE">
              <w:rPr>
                <w:rFonts w:asciiTheme="minorHAnsi" w:hAnsiTheme="minorHAnsi" w:cstheme="minorHAnsi"/>
                <w:sz w:val="22"/>
                <w:szCs w:val="22"/>
              </w:rPr>
              <w:t xml:space="preserve">. </w:t>
            </w:r>
          </w:p>
          <w:p w14:paraId="5F5C6136" w14:textId="77777777" w:rsidR="001223C1" w:rsidRDefault="001223C1" w:rsidP="00224A1E">
            <w:pPr>
              <w:rPr>
                <w:rFonts w:asciiTheme="minorHAnsi" w:hAnsiTheme="minorHAnsi" w:cstheme="minorHAnsi"/>
                <w:sz w:val="22"/>
                <w:szCs w:val="22"/>
              </w:rPr>
            </w:pPr>
          </w:p>
          <w:p w14:paraId="43C527A3" w14:textId="1ACF15E8" w:rsidR="001223C1" w:rsidRPr="007326DE" w:rsidRDefault="001223C1" w:rsidP="00224A1E">
            <w:pPr>
              <w:rPr>
                <w:rFonts w:asciiTheme="minorHAnsi" w:hAnsiTheme="minorHAnsi" w:cstheme="minorHAnsi"/>
                <w:sz w:val="22"/>
                <w:szCs w:val="22"/>
              </w:rPr>
            </w:pPr>
            <w:r>
              <w:rPr>
                <w:rFonts w:asciiTheme="minorHAnsi" w:hAnsiTheme="minorHAnsi" w:cstheme="minorHAnsi"/>
                <w:b/>
                <w:sz w:val="22"/>
                <w:szCs w:val="22"/>
              </w:rPr>
              <w:t xml:space="preserve">Geography: </w:t>
            </w:r>
            <w:r w:rsidRPr="001223C1">
              <w:rPr>
                <w:rFonts w:asciiTheme="minorHAnsi" w:hAnsiTheme="minorHAnsi" w:cstheme="minorHAnsi"/>
                <w:color w:val="000000" w:themeColor="text1"/>
                <w:sz w:val="22"/>
                <w:szCs w:val="22"/>
              </w:rPr>
              <w:t>Funding</w:t>
            </w:r>
            <w:r>
              <w:rPr>
                <w:rFonts w:asciiTheme="minorHAnsi" w:hAnsiTheme="minorHAnsi" w:cstheme="minorHAnsi"/>
                <w:color w:val="000000" w:themeColor="text1"/>
                <w:sz w:val="22"/>
                <w:szCs w:val="22"/>
              </w:rPr>
              <w:t xml:space="preserve"> formula should specifically address </w:t>
            </w:r>
            <w:r w:rsidRPr="001223C1">
              <w:rPr>
                <w:rFonts w:asciiTheme="minorHAnsi" w:hAnsiTheme="minorHAnsi" w:cstheme="minorHAnsi"/>
                <w:i/>
                <w:color w:val="000000" w:themeColor="text1"/>
                <w:sz w:val="22"/>
                <w:szCs w:val="22"/>
              </w:rPr>
              <w:t>geographic equity</w:t>
            </w:r>
            <w:r>
              <w:rPr>
                <w:rFonts w:asciiTheme="minorHAnsi" w:hAnsiTheme="minorHAnsi" w:cstheme="minorHAnsi"/>
                <w:color w:val="000000" w:themeColor="text1"/>
                <w:sz w:val="22"/>
                <w:szCs w:val="22"/>
              </w:rPr>
              <w:t xml:space="preserve"> (as well as age, race, income, etc.)</w:t>
            </w:r>
          </w:p>
        </w:tc>
        <w:tc>
          <w:tcPr>
            <w:tcW w:w="1561" w:type="pct"/>
            <w:gridSpan w:val="2"/>
          </w:tcPr>
          <w:p w14:paraId="7D8E690F" w14:textId="77777777" w:rsidR="00224A1E" w:rsidRPr="007326DE" w:rsidRDefault="00224A1E" w:rsidP="00224A1E">
            <w:pPr>
              <w:rPr>
                <w:rFonts w:asciiTheme="minorHAnsi" w:hAnsiTheme="minorHAnsi" w:cstheme="minorHAnsi"/>
                <w:sz w:val="22"/>
                <w:szCs w:val="22"/>
              </w:rPr>
            </w:pPr>
          </w:p>
        </w:tc>
        <w:tc>
          <w:tcPr>
            <w:tcW w:w="1427" w:type="pct"/>
          </w:tcPr>
          <w:p w14:paraId="5B616447" w14:textId="64F56B6E" w:rsidR="00224A1E" w:rsidRPr="007326DE" w:rsidRDefault="001223C1" w:rsidP="00514B5B">
            <w:pPr>
              <w:rPr>
                <w:rFonts w:asciiTheme="minorHAnsi" w:hAnsiTheme="minorHAnsi" w:cstheme="minorHAnsi"/>
                <w:sz w:val="22"/>
                <w:szCs w:val="22"/>
              </w:rPr>
            </w:pPr>
            <w:r w:rsidRPr="007326DE">
              <w:rPr>
                <w:rFonts w:asciiTheme="minorHAnsi" w:hAnsiTheme="minorHAnsi" w:cstheme="minorHAnsi"/>
                <w:color w:val="000000" w:themeColor="text1"/>
                <w:sz w:val="22"/>
                <w:szCs w:val="22"/>
              </w:rPr>
              <w:t>Futu</w:t>
            </w:r>
            <w:r w:rsidR="006D06EF">
              <w:rPr>
                <w:rFonts w:asciiTheme="minorHAnsi" w:hAnsiTheme="minorHAnsi" w:cstheme="minorHAnsi"/>
                <w:color w:val="000000" w:themeColor="text1"/>
                <w:sz w:val="22"/>
                <w:szCs w:val="22"/>
              </w:rPr>
              <w:t>re rate increases must include Early Intervention</w:t>
            </w:r>
            <w:r w:rsidRPr="007326DE">
              <w:rPr>
                <w:rFonts w:asciiTheme="minorHAnsi" w:hAnsiTheme="minorHAnsi" w:cstheme="minorHAnsi"/>
                <w:color w:val="000000" w:themeColor="text1"/>
                <w:sz w:val="22"/>
                <w:szCs w:val="22"/>
              </w:rPr>
              <w:t>, not just child care. (</w:t>
            </w:r>
            <w:r w:rsidR="00514B5B">
              <w:rPr>
                <w:rFonts w:asciiTheme="minorHAnsi" w:hAnsiTheme="minorHAnsi" w:cstheme="minorHAnsi"/>
                <w:color w:val="000000" w:themeColor="text1"/>
                <w:sz w:val="22"/>
                <w:szCs w:val="22"/>
              </w:rPr>
              <w:t>R</w:t>
            </w:r>
            <w:r w:rsidRPr="007326DE">
              <w:rPr>
                <w:rFonts w:asciiTheme="minorHAnsi" w:hAnsiTheme="minorHAnsi" w:cstheme="minorHAnsi"/>
                <w:color w:val="000000" w:themeColor="text1"/>
                <w:sz w:val="22"/>
                <w:szCs w:val="22"/>
              </w:rPr>
              <w:t>eference to a section of the outline that references child care increases).</w:t>
            </w:r>
          </w:p>
        </w:tc>
        <w:bookmarkStart w:id="0" w:name="_GoBack"/>
        <w:bookmarkEnd w:id="0"/>
      </w:tr>
      <w:tr w:rsidR="00224A1E" w:rsidRPr="007326DE" w14:paraId="42455198" w14:textId="77777777" w:rsidTr="002A3D16">
        <w:trPr>
          <w:trHeight w:val="1772"/>
        </w:trPr>
        <w:tc>
          <w:tcPr>
            <w:tcW w:w="698" w:type="pct"/>
          </w:tcPr>
          <w:p w14:paraId="30DA8D49" w14:textId="7991BBD9" w:rsidR="00224A1E" w:rsidRPr="007326DE" w:rsidRDefault="00224A1E" w:rsidP="00224A1E">
            <w:pPr>
              <w:rPr>
                <w:rFonts w:asciiTheme="minorHAnsi" w:hAnsiTheme="minorHAnsi" w:cstheme="minorHAnsi"/>
                <w:sz w:val="22"/>
                <w:szCs w:val="22"/>
              </w:rPr>
            </w:pPr>
            <w:r w:rsidRPr="007326DE">
              <w:rPr>
                <w:rFonts w:asciiTheme="minorHAnsi" w:hAnsiTheme="minorHAnsi" w:cstheme="minorHAnsi"/>
                <w:sz w:val="22"/>
                <w:szCs w:val="22"/>
              </w:rPr>
              <w:t xml:space="preserve">Family Child Care </w:t>
            </w:r>
            <w:r w:rsidR="00514B5B">
              <w:rPr>
                <w:rFonts w:asciiTheme="minorHAnsi" w:hAnsiTheme="minorHAnsi" w:cstheme="minorHAnsi"/>
                <w:sz w:val="22"/>
                <w:szCs w:val="22"/>
              </w:rPr>
              <w:t xml:space="preserve">(FCC) </w:t>
            </w:r>
            <w:r w:rsidRPr="007326DE">
              <w:rPr>
                <w:rFonts w:asciiTheme="minorHAnsi" w:hAnsiTheme="minorHAnsi" w:cstheme="minorHAnsi"/>
                <w:sz w:val="22"/>
                <w:szCs w:val="22"/>
              </w:rPr>
              <w:t xml:space="preserve">and </w:t>
            </w:r>
            <w:r w:rsidR="00514B5B">
              <w:rPr>
                <w:rFonts w:asciiTheme="minorHAnsi" w:hAnsiTheme="minorHAnsi" w:cstheme="minorHAnsi"/>
                <w:sz w:val="22"/>
                <w:szCs w:val="22"/>
              </w:rPr>
              <w:t>Family Friend and Neighbor (</w:t>
            </w:r>
            <w:r w:rsidRPr="007326DE">
              <w:rPr>
                <w:rFonts w:asciiTheme="minorHAnsi" w:hAnsiTheme="minorHAnsi" w:cstheme="minorHAnsi"/>
                <w:sz w:val="22"/>
                <w:szCs w:val="22"/>
              </w:rPr>
              <w:t>FFN</w:t>
            </w:r>
            <w:r w:rsidR="00514B5B">
              <w:rPr>
                <w:rFonts w:asciiTheme="minorHAnsi" w:hAnsiTheme="minorHAnsi" w:cstheme="minorHAnsi"/>
                <w:sz w:val="22"/>
                <w:szCs w:val="22"/>
              </w:rPr>
              <w:t>)</w:t>
            </w:r>
            <w:r w:rsidRPr="007326DE">
              <w:rPr>
                <w:rFonts w:asciiTheme="minorHAnsi" w:hAnsiTheme="minorHAnsi" w:cstheme="minorHAnsi"/>
                <w:sz w:val="22"/>
                <w:szCs w:val="22"/>
              </w:rPr>
              <w:t xml:space="preserve"> Care</w:t>
            </w:r>
          </w:p>
        </w:tc>
        <w:tc>
          <w:tcPr>
            <w:tcW w:w="1314" w:type="pct"/>
          </w:tcPr>
          <w:p w14:paraId="4B6AEDA1" w14:textId="77777777" w:rsidR="00224A1E" w:rsidRPr="007326DE" w:rsidRDefault="00224A1E" w:rsidP="00224A1E">
            <w:pPr>
              <w:rPr>
                <w:rFonts w:asciiTheme="minorHAnsi" w:hAnsiTheme="minorHAnsi" w:cstheme="minorHAnsi"/>
                <w:sz w:val="22"/>
                <w:szCs w:val="22"/>
              </w:rPr>
            </w:pPr>
          </w:p>
        </w:tc>
        <w:tc>
          <w:tcPr>
            <w:tcW w:w="1561" w:type="pct"/>
            <w:gridSpan w:val="2"/>
          </w:tcPr>
          <w:p w14:paraId="602B1799" w14:textId="77777777" w:rsidR="00224A1E" w:rsidRPr="007326DE" w:rsidRDefault="00224A1E" w:rsidP="00224A1E">
            <w:pPr>
              <w:rPr>
                <w:rFonts w:asciiTheme="minorHAnsi" w:hAnsiTheme="minorHAnsi" w:cstheme="minorHAnsi"/>
                <w:sz w:val="22"/>
                <w:szCs w:val="22"/>
              </w:rPr>
            </w:pPr>
          </w:p>
        </w:tc>
        <w:tc>
          <w:tcPr>
            <w:tcW w:w="1427" w:type="pct"/>
          </w:tcPr>
          <w:p w14:paraId="703527D0" w14:textId="4B25704A" w:rsidR="00224A1E" w:rsidRPr="007326DE" w:rsidRDefault="00224A1E" w:rsidP="00224A1E">
            <w:pPr>
              <w:rPr>
                <w:rFonts w:asciiTheme="minorHAnsi" w:eastAsia="Times New Roman" w:hAnsiTheme="minorHAnsi" w:cstheme="minorHAnsi"/>
                <w:color w:val="000000" w:themeColor="text1"/>
                <w:sz w:val="22"/>
                <w:szCs w:val="22"/>
              </w:rPr>
            </w:pPr>
            <w:r w:rsidRPr="007326DE">
              <w:rPr>
                <w:rFonts w:asciiTheme="minorHAnsi" w:hAnsiTheme="minorHAnsi" w:cstheme="minorHAnsi"/>
                <w:color w:val="000000" w:themeColor="text1"/>
                <w:sz w:val="22"/>
                <w:szCs w:val="22"/>
              </w:rPr>
              <w:t xml:space="preserve">Not </w:t>
            </w:r>
            <w:r w:rsidR="006D06EF">
              <w:rPr>
                <w:rFonts w:asciiTheme="minorHAnsi" w:hAnsiTheme="minorHAnsi" w:cstheme="minorHAnsi"/>
                <w:color w:val="000000" w:themeColor="text1"/>
                <w:sz w:val="22"/>
                <w:szCs w:val="22"/>
              </w:rPr>
              <w:t>much in the draft mentioning Family Child Care</w:t>
            </w:r>
            <w:r w:rsidR="00514B5B">
              <w:rPr>
                <w:rFonts w:asciiTheme="minorHAnsi" w:hAnsiTheme="minorHAnsi" w:cstheme="minorHAnsi"/>
                <w:color w:val="000000" w:themeColor="text1"/>
                <w:sz w:val="22"/>
                <w:szCs w:val="22"/>
              </w:rPr>
              <w:t xml:space="preserve"> (FCC)</w:t>
            </w:r>
            <w:r w:rsidRPr="007326DE">
              <w:rPr>
                <w:rFonts w:asciiTheme="minorHAnsi" w:hAnsiTheme="minorHAnsi" w:cstheme="minorHAnsi"/>
                <w:color w:val="000000" w:themeColor="text1"/>
                <w:sz w:val="22"/>
                <w:szCs w:val="22"/>
              </w:rPr>
              <w:t xml:space="preserve"> &amp; </w:t>
            </w:r>
            <w:r w:rsidR="00514B5B">
              <w:rPr>
                <w:rFonts w:asciiTheme="minorHAnsi" w:hAnsiTheme="minorHAnsi" w:cstheme="minorHAnsi"/>
                <w:color w:val="000000" w:themeColor="text1"/>
                <w:sz w:val="22"/>
                <w:szCs w:val="22"/>
              </w:rPr>
              <w:t xml:space="preserve">FCC </w:t>
            </w:r>
            <w:r w:rsidRPr="007326DE">
              <w:rPr>
                <w:rFonts w:asciiTheme="minorHAnsi" w:hAnsiTheme="minorHAnsi" w:cstheme="minorHAnsi"/>
                <w:color w:val="000000" w:themeColor="text1"/>
                <w:sz w:val="22"/>
                <w:szCs w:val="22"/>
              </w:rPr>
              <w:t xml:space="preserve">networks’ unique role. Need deeper engagement during implementation regarding how funding mechanisms will impact them. </w:t>
            </w:r>
          </w:p>
        </w:tc>
      </w:tr>
      <w:tr w:rsidR="00224A1E" w:rsidRPr="007326DE" w14:paraId="1A280E7E" w14:textId="77777777" w:rsidTr="002A3D16">
        <w:trPr>
          <w:trHeight w:val="2175"/>
        </w:trPr>
        <w:tc>
          <w:tcPr>
            <w:tcW w:w="698" w:type="pct"/>
          </w:tcPr>
          <w:p w14:paraId="785817F2" w14:textId="150833DF" w:rsidR="00224A1E" w:rsidRPr="007326DE" w:rsidRDefault="00224A1E" w:rsidP="00256031">
            <w:pPr>
              <w:rPr>
                <w:rFonts w:asciiTheme="minorHAnsi" w:hAnsiTheme="minorHAnsi" w:cstheme="minorHAnsi"/>
                <w:sz w:val="22"/>
                <w:szCs w:val="22"/>
              </w:rPr>
            </w:pPr>
            <w:r w:rsidRPr="007326DE">
              <w:rPr>
                <w:rFonts w:asciiTheme="minorHAnsi" w:hAnsiTheme="minorHAnsi" w:cstheme="minorHAnsi"/>
                <w:sz w:val="22"/>
                <w:szCs w:val="22"/>
              </w:rPr>
              <w:t xml:space="preserve">English Learners in </w:t>
            </w:r>
            <w:r w:rsidR="006D06EF" w:rsidRPr="007326DE">
              <w:rPr>
                <w:rFonts w:asciiTheme="minorHAnsi" w:hAnsiTheme="minorHAnsi" w:cstheme="minorHAnsi"/>
                <w:color w:val="000000" w:themeColor="text1"/>
                <w:sz w:val="22"/>
                <w:szCs w:val="22"/>
              </w:rPr>
              <w:t>E</w:t>
            </w:r>
            <w:r w:rsidR="006D06EF">
              <w:rPr>
                <w:rFonts w:asciiTheme="minorHAnsi" w:hAnsiTheme="minorHAnsi" w:cstheme="minorHAnsi"/>
                <w:color w:val="000000" w:themeColor="text1"/>
                <w:sz w:val="22"/>
                <w:szCs w:val="22"/>
              </w:rPr>
              <w:t xml:space="preserve">vidence Based Funding formula for </w:t>
            </w:r>
            <w:r w:rsidR="00256031">
              <w:rPr>
                <w:rFonts w:asciiTheme="minorHAnsi" w:hAnsiTheme="minorHAnsi" w:cstheme="minorHAnsi"/>
                <w:color w:val="000000" w:themeColor="text1"/>
                <w:sz w:val="22"/>
                <w:szCs w:val="22"/>
              </w:rPr>
              <w:t>Illinois Public S</w:t>
            </w:r>
            <w:r w:rsidR="006D06EF">
              <w:rPr>
                <w:rFonts w:asciiTheme="minorHAnsi" w:hAnsiTheme="minorHAnsi" w:cstheme="minorHAnsi"/>
                <w:color w:val="000000" w:themeColor="text1"/>
                <w:sz w:val="22"/>
                <w:szCs w:val="22"/>
              </w:rPr>
              <w:t>chools</w:t>
            </w:r>
          </w:p>
        </w:tc>
        <w:tc>
          <w:tcPr>
            <w:tcW w:w="1314" w:type="pct"/>
          </w:tcPr>
          <w:p w14:paraId="669B960C" w14:textId="77777777" w:rsidR="00224A1E" w:rsidRPr="007326DE" w:rsidRDefault="00224A1E" w:rsidP="00224A1E">
            <w:pPr>
              <w:rPr>
                <w:rFonts w:asciiTheme="minorHAnsi" w:hAnsiTheme="minorHAnsi" w:cstheme="minorHAnsi"/>
                <w:sz w:val="22"/>
                <w:szCs w:val="22"/>
              </w:rPr>
            </w:pPr>
          </w:p>
        </w:tc>
        <w:tc>
          <w:tcPr>
            <w:tcW w:w="1561" w:type="pct"/>
            <w:gridSpan w:val="2"/>
          </w:tcPr>
          <w:p w14:paraId="79D8435E" w14:textId="02127BFA" w:rsidR="00224A1E" w:rsidRDefault="00224A1E" w:rsidP="00224A1E">
            <w:pPr>
              <w:rPr>
                <w:rFonts w:asciiTheme="minorHAnsi" w:hAnsiTheme="minorHAnsi" w:cstheme="minorHAnsi"/>
                <w:color w:val="000000" w:themeColor="text1"/>
                <w:sz w:val="22"/>
                <w:szCs w:val="22"/>
              </w:rPr>
            </w:pPr>
            <w:r w:rsidRPr="007326DE">
              <w:rPr>
                <w:rFonts w:asciiTheme="minorHAnsi" w:hAnsiTheme="minorHAnsi" w:cstheme="minorHAnsi"/>
                <w:color w:val="000000" w:themeColor="text1"/>
                <w:sz w:val="22"/>
                <w:szCs w:val="22"/>
              </w:rPr>
              <w:t>The report outline lacks discu</w:t>
            </w:r>
            <w:r>
              <w:rPr>
                <w:rFonts w:asciiTheme="minorHAnsi" w:hAnsiTheme="minorHAnsi" w:cstheme="minorHAnsi"/>
                <w:color w:val="000000" w:themeColor="text1"/>
                <w:sz w:val="22"/>
                <w:szCs w:val="22"/>
              </w:rPr>
              <w:t>ssion of any recommendations, leanings, or concerns</w:t>
            </w:r>
            <w:r w:rsidRPr="007326DE">
              <w:rPr>
                <w:rFonts w:asciiTheme="minorHAnsi" w:hAnsiTheme="minorHAnsi" w:cstheme="minorHAnsi"/>
                <w:color w:val="000000" w:themeColor="text1"/>
                <w:sz w:val="22"/>
                <w:szCs w:val="22"/>
              </w:rPr>
              <w:t xml:space="preserve"> around </w:t>
            </w:r>
            <w:r>
              <w:rPr>
                <w:rFonts w:asciiTheme="minorHAnsi" w:hAnsiTheme="minorHAnsi" w:cstheme="minorHAnsi"/>
                <w:color w:val="000000" w:themeColor="text1"/>
                <w:sz w:val="22"/>
                <w:szCs w:val="22"/>
              </w:rPr>
              <w:t xml:space="preserve">current </w:t>
            </w:r>
            <w:r w:rsidR="006D06EF">
              <w:rPr>
                <w:rFonts w:asciiTheme="minorHAnsi" w:hAnsiTheme="minorHAnsi" w:cstheme="minorHAnsi"/>
                <w:color w:val="000000" w:themeColor="text1"/>
                <w:sz w:val="22"/>
                <w:szCs w:val="22"/>
              </w:rPr>
              <w:t xml:space="preserve">English Learners </w:t>
            </w:r>
            <w:r w:rsidRPr="007326DE">
              <w:rPr>
                <w:rFonts w:asciiTheme="minorHAnsi" w:hAnsiTheme="minorHAnsi" w:cstheme="minorHAnsi"/>
                <w:color w:val="000000" w:themeColor="text1"/>
                <w:sz w:val="22"/>
                <w:szCs w:val="22"/>
              </w:rPr>
              <w:t>funding in E</w:t>
            </w:r>
            <w:r w:rsidR="006D06EF">
              <w:rPr>
                <w:rFonts w:asciiTheme="minorHAnsi" w:hAnsiTheme="minorHAnsi" w:cstheme="minorHAnsi"/>
                <w:color w:val="000000" w:themeColor="text1"/>
                <w:sz w:val="22"/>
                <w:szCs w:val="22"/>
              </w:rPr>
              <w:t xml:space="preserve">vidence Based Funding </w:t>
            </w:r>
            <w:r w:rsidR="006D06EF" w:rsidRPr="00514B5B">
              <w:rPr>
                <w:rFonts w:asciiTheme="minorHAnsi" w:hAnsiTheme="minorHAnsi" w:cstheme="minorHAnsi"/>
                <w:color w:val="000000" w:themeColor="text1"/>
                <w:sz w:val="22"/>
                <w:szCs w:val="22"/>
              </w:rPr>
              <w:t>formula for schools</w:t>
            </w:r>
            <w:r w:rsidRPr="00514B5B">
              <w:rPr>
                <w:rFonts w:asciiTheme="minorHAnsi" w:hAnsiTheme="minorHAnsi" w:cstheme="minorHAnsi"/>
                <w:color w:val="000000" w:themeColor="text1"/>
                <w:sz w:val="22"/>
                <w:szCs w:val="22"/>
              </w:rPr>
              <w:t xml:space="preserve"> (like it does for </w:t>
            </w:r>
            <w:r w:rsidR="00514B5B" w:rsidRPr="00514B5B">
              <w:rPr>
                <w:rFonts w:asciiTheme="minorHAnsi" w:hAnsiTheme="minorHAnsi" w:cstheme="minorHAnsi"/>
                <w:color w:val="000000" w:themeColor="text1"/>
                <w:sz w:val="22"/>
                <w:szCs w:val="22"/>
              </w:rPr>
              <w:t>Early Childhood Special Education</w:t>
            </w:r>
            <w:r w:rsidRPr="00514B5B">
              <w:rPr>
                <w:rFonts w:asciiTheme="minorHAnsi" w:hAnsiTheme="minorHAnsi" w:cstheme="minorHAnsi"/>
                <w:color w:val="000000" w:themeColor="text1"/>
                <w:sz w:val="22"/>
                <w:szCs w:val="22"/>
              </w:rPr>
              <w:t xml:space="preserve">) or future funding mechanisms. </w:t>
            </w:r>
          </w:p>
          <w:p w14:paraId="789D5466" w14:textId="77777777" w:rsidR="00224A1E" w:rsidRDefault="00224A1E" w:rsidP="00224A1E">
            <w:pPr>
              <w:rPr>
                <w:rFonts w:asciiTheme="minorHAnsi" w:hAnsiTheme="minorHAnsi" w:cstheme="minorHAnsi"/>
                <w:color w:val="000000" w:themeColor="text1"/>
                <w:sz w:val="22"/>
                <w:szCs w:val="22"/>
              </w:rPr>
            </w:pPr>
          </w:p>
          <w:p w14:paraId="46BBB295" w14:textId="77777777" w:rsidR="00224A1E" w:rsidRPr="00DF0055" w:rsidRDefault="00224A1E" w:rsidP="00224A1E">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Lacks discussion about how funding mechanisms will impact English Learners. </w:t>
            </w:r>
          </w:p>
        </w:tc>
        <w:tc>
          <w:tcPr>
            <w:tcW w:w="1427" w:type="pct"/>
          </w:tcPr>
          <w:p w14:paraId="29BEDCC4" w14:textId="77777777" w:rsidR="00224A1E" w:rsidRPr="007326DE" w:rsidRDefault="00224A1E" w:rsidP="00224A1E">
            <w:pPr>
              <w:rPr>
                <w:rFonts w:asciiTheme="minorHAnsi" w:hAnsiTheme="minorHAnsi" w:cstheme="minorHAnsi"/>
                <w:sz w:val="22"/>
                <w:szCs w:val="22"/>
              </w:rPr>
            </w:pPr>
          </w:p>
        </w:tc>
      </w:tr>
      <w:tr w:rsidR="002A3D16" w:rsidRPr="007326DE" w14:paraId="2BFFEF44" w14:textId="77777777" w:rsidTr="002A3D16">
        <w:trPr>
          <w:trHeight w:val="1365"/>
        </w:trPr>
        <w:tc>
          <w:tcPr>
            <w:tcW w:w="698" w:type="pct"/>
          </w:tcPr>
          <w:p w14:paraId="71082721" w14:textId="77777777" w:rsidR="002A3D16" w:rsidRPr="007326DE" w:rsidRDefault="002A3D16" w:rsidP="00F73300">
            <w:pPr>
              <w:rPr>
                <w:rFonts w:asciiTheme="minorHAnsi" w:hAnsiTheme="minorHAnsi" w:cstheme="minorHAnsi"/>
                <w:sz w:val="22"/>
                <w:szCs w:val="22"/>
              </w:rPr>
            </w:pPr>
            <w:r w:rsidRPr="007326DE">
              <w:rPr>
                <w:rFonts w:asciiTheme="minorHAnsi" w:hAnsiTheme="minorHAnsi" w:cstheme="minorHAnsi"/>
                <w:sz w:val="22"/>
                <w:szCs w:val="22"/>
              </w:rPr>
              <w:t>Stakeholder Engagement Around Mechanisms</w:t>
            </w:r>
          </w:p>
        </w:tc>
        <w:tc>
          <w:tcPr>
            <w:tcW w:w="1314" w:type="pct"/>
          </w:tcPr>
          <w:p w14:paraId="60D22309" w14:textId="77777777" w:rsidR="002A3D16" w:rsidRPr="007326DE" w:rsidRDefault="002A3D16" w:rsidP="00F73300">
            <w:pPr>
              <w:rPr>
                <w:rFonts w:asciiTheme="minorHAnsi" w:hAnsiTheme="minorHAnsi" w:cstheme="minorHAnsi"/>
                <w:sz w:val="22"/>
                <w:szCs w:val="22"/>
                <w:highlight w:val="yellow"/>
              </w:rPr>
            </w:pPr>
          </w:p>
        </w:tc>
        <w:tc>
          <w:tcPr>
            <w:tcW w:w="1561" w:type="pct"/>
            <w:gridSpan w:val="2"/>
          </w:tcPr>
          <w:p w14:paraId="7896E875" w14:textId="77777777" w:rsidR="002A3D16" w:rsidRPr="007326DE" w:rsidRDefault="002A3D16" w:rsidP="00F73300">
            <w:pPr>
              <w:rPr>
                <w:rFonts w:asciiTheme="minorHAnsi" w:hAnsiTheme="minorHAnsi" w:cstheme="minorHAnsi"/>
                <w:color w:val="538135" w:themeColor="accent6" w:themeShade="BF"/>
                <w:sz w:val="22"/>
                <w:szCs w:val="22"/>
              </w:rPr>
            </w:pPr>
            <w:r w:rsidRPr="007326DE">
              <w:rPr>
                <w:rFonts w:asciiTheme="minorHAnsi" w:hAnsiTheme="minorHAnsi" w:cstheme="minorHAnsi"/>
                <w:sz w:val="22"/>
                <w:szCs w:val="22"/>
              </w:rPr>
              <w:t xml:space="preserve">Ensure parents and stakeholders </w:t>
            </w:r>
            <w:r>
              <w:rPr>
                <w:rFonts w:asciiTheme="minorHAnsi" w:hAnsiTheme="minorHAnsi" w:cstheme="minorHAnsi"/>
                <w:sz w:val="22"/>
                <w:szCs w:val="22"/>
              </w:rPr>
              <w:t xml:space="preserve">are </w:t>
            </w:r>
            <w:r w:rsidRPr="007326DE">
              <w:rPr>
                <w:rFonts w:asciiTheme="minorHAnsi" w:hAnsiTheme="minorHAnsi" w:cstheme="minorHAnsi"/>
                <w:sz w:val="22"/>
                <w:szCs w:val="22"/>
              </w:rPr>
              <w:t>engaged as partners around Funding Mech</w:t>
            </w:r>
            <w:r>
              <w:rPr>
                <w:rFonts w:asciiTheme="minorHAnsi" w:hAnsiTheme="minorHAnsi" w:cstheme="minorHAnsi"/>
                <w:sz w:val="22"/>
                <w:szCs w:val="22"/>
              </w:rPr>
              <w:t>anisms</w:t>
            </w:r>
            <w:r w:rsidRPr="007326DE">
              <w:rPr>
                <w:rFonts w:asciiTheme="minorHAnsi" w:hAnsiTheme="minorHAnsi" w:cstheme="minorHAnsi"/>
                <w:sz w:val="22"/>
                <w:szCs w:val="22"/>
              </w:rPr>
              <w:t xml:space="preserve"> to ensure mixed delivery and family choice. </w:t>
            </w:r>
          </w:p>
        </w:tc>
        <w:tc>
          <w:tcPr>
            <w:tcW w:w="1427" w:type="pct"/>
          </w:tcPr>
          <w:p w14:paraId="5060C8B0" w14:textId="77777777" w:rsidR="002A3D16" w:rsidRPr="007326DE" w:rsidRDefault="002A3D16" w:rsidP="00F73300">
            <w:pPr>
              <w:rPr>
                <w:rFonts w:asciiTheme="minorHAnsi" w:hAnsiTheme="minorHAnsi" w:cstheme="minorHAnsi"/>
                <w:sz w:val="22"/>
                <w:szCs w:val="22"/>
                <w:highlight w:val="yellow"/>
              </w:rPr>
            </w:pPr>
          </w:p>
        </w:tc>
      </w:tr>
    </w:tbl>
    <w:p w14:paraId="0DC0AF99" w14:textId="77777777" w:rsidR="00224A1E" w:rsidRDefault="00224A1E"/>
    <w:sectPr w:rsidR="00224A1E">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BC4CB" w14:textId="77777777" w:rsidR="00224A1E" w:rsidRDefault="00224A1E" w:rsidP="00224A1E">
      <w:r>
        <w:separator/>
      </w:r>
    </w:p>
  </w:endnote>
  <w:endnote w:type="continuationSeparator" w:id="0">
    <w:p w14:paraId="6EB50EA7" w14:textId="77777777" w:rsidR="00224A1E" w:rsidRDefault="00224A1E" w:rsidP="00224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7772874"/>
      <w:docPartObj>
        <w:docPartGallery w:val="Page Numbers (Bottom of Page)"/>
        <w:docPartUnique/>
      </w:docPartObj>
    </w:sdtPr>
    <w:sdtEndPr>
      <w:rPr>
        <w:noProof/>
      </w:rPr>
    </w:sdtEndPr>
    <w:sdtContent>
      <w:p w14:paraId="0A897B9E" w14:textId="79602264" w:rsidR="00224A1E" w:rsidRDefault="00224A1E" w:rsidP="00224A1E">
        <w:pPr>
          <w:pStyle w:val="Footer"/>
          <w:jc w:val="right"/>
        </w:pPr>
        <w:r>
          <w:fldChar w:fldCharType="begin"/>
        </w:r>
        <w:r>
          <w:instrText xml:space="preserve"> PAGE   \* MERGEFORMAT </w:instrText>
        </w:r>
        <w:r>
          <w:fldChar w:fldCharType="separate"/>
        </w:r>
        <w:r w:rsidR="00644ED6">
          <w:rPr>
            <w:noProof/>
          </w:rPr>
          <w:t>1</w:t>
        </w:r>
        <w:r>
          <w:rPr>
            <w:noProof/>
          </w:rPr>
          <w:fldChar w:fldCharType="end"/>
        </w:r>
        <w:r>
          <w:rPr>
            <w:noProof/>
          </w:rPr>
          <w:t xml:space="preserve">                                                           1/15/2021</w:t>
        </w:r>
      </w:p>
    </w:sdtContent>
  </w:sdt>
  <w:p w14:paraId="57580934" w14:textId="77777777" w:rsidR="00224A1E" w:rsidRDefault="00224A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379D6" w14:textId="77777777" w:rsidR="00224A1E" w:rsidRDefault="00224A1E" w:rsidP="00224A1E">
      <w:r>
        <w:separator/>
      </w:r>
    </w:p>
  </w:footnote>
  <w:footnote w:type="continuationSeparator" w:id="0">
    <w:p w14:paraId="32AF19EC" w14:textId="77777777" w:rsidR="00224A1E" w:rsidRDefault="00224A1E" w:rsidP="00224A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1E"/>
    <w:rsid w:val="000A0C15"/>
    <w:rsid w:val="001223C1"/>
    <w:rsid w:val="001223EE"/>
    <w:rsid w:val="001D0D60"/>
    <w:rsid w:val="00224A1E"/>
    <w:rsid w:val="00256031"/>
    <w:rsid w:val="002A3D16"/>
    <w:rsid w:val="003C4463"/>
    <w:rsid w:val="00514B5B"/>
    <w:rsid w:val="00644ED6"/>
    <w:rsid w:val="006D06EF"/>
    <w:rsid w:val="007500AC"/>
    <w:rsid w:val="007B1AAF"/>
    <w:rsid w:val="00D17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AC462F"/>
  <w15:chartTrackingRefBased/>
  <w15:docId w15:val="{70BA2434-8592-4BB7-8692-B18531E3E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A1E"/>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224A1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A1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224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24A1E"/>
    <w:pPr>
      <w:ind w:left="720"/>
    </w:pPr>
    <w:rPr>
      <w:rFonts w:ascii="Calibri" w:hAnsi="Calibri" w:cs="Calibri"/>
      <w:sz w:val="22"/>
      <w:szCs w:val="22"/>
    </w:rPr>
  </w:style>
  <w:style w:type="paragraph" w:styleId="Header">
    <w:name w:val="header"/>
    <w:basedOn w:val="Normal"/>
    <w:link w:val="HeaderChar"/>
    <w:uiPriority w:val="99"/>
    <w:unhideWhenUsed/>
    <w:rsid w:val="00224A1E"/>
    <w:pPr>
      <w:tabs>
        <w:tab w:val="center" w:pos="4680"/>
        <w:tab w:val="right" w:pos="9360"/>
      </w:tabs>
    </w:pPr>
  </w:style>
  <w:style w:type="character" w:customStyle="1" w:styleId="HeaderChar">
    <w:name w:val="Header Char"/>
    <w:basedOn w:val="DefaultParagraphFont"/>
    <w:link w:val="Header"/>
    <w:uiPriority w:val="99"/>
    <w:rsid w:val="00224A1E"/>
    <w:rPr>
      <w:rFonts w:ascii="Times New Roman" w:hAnsi="Times New Roman" w:cs="Times New Roman"/>
      <w:sz w:val="24"/>
      <w:szCs w:val="24"/>
    </w:rPr>
  </w:style>
  <w:style w:type="paragraph" w:styleId="Footer">
    <w:name w:val="footer"/>
    <w:basedOn w:val="Normal"/>
    <w:link w:val="FooterChar"/>
    <w:uiPriority w:val="99"/>
    <w:unhideWhenUsed/>
    <w:rsid w:val="00224A1E"/>
    <w:pPr>
      <w:tabs>
        <w:tab w:val="center" w:pos="4680"/>
        <w:tab w:val="right" w:pos="9360"/>
      </w:tabs>
    </w:pPr>
  </w:style>
  <w:style w:type="character" w:customStyle="1" w:styleId="FooterChar">
    <w:name w:val="Footer Char"/>
    <w:basedOn w:val="DefaultParagraphFont"/>
    <w:link w:val="Footer"/>
    <w:uiPriority w:val="99"/>
    <w:rsid w:val="00224A1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8B49F0BCEE7349901F0AE40A1C1C91" ma:contentTypeVersion="11" ma:contentTypeDescription="Create a new document." ma:contentTypeScope="" ma:versionID="4dd7e8046c5a0c9b6142b35311150377">
  <xsd:schema xmlns:xsd="http://www.w3.org/2001/XMLSchema" xmlns:xs="http://www.w3.org/2001/XMLSchema" xmlns:p="http://schemas.microsoft.com/office/2006/metadata/properties" xmlns:ns2="2e963995-2476-4003-90b9-dd28f8ee26fe" xmlns:ns3="eed1c6dd-e0c0-4c09-a491-0b52034e33fa" targetNamespace="http://schemas.microsoft.com/office/2006/metadata/properties" ma:root="true" ma:fieldsID="c5444568027bd2b6821d2d26610881f6" ns2:_="" ns3:_="">
    <xsd:import namespace="2e963995-2476-4003-90b9-dd28f8ee26fe"/>
    <xsd:import namespace="eed1c6dd-e0c0-4c09-a491-0b52034e33f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963995-2476-4003-90b9-dd28f8ee26f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d1c6dd-e0c0-4c09-a491-0b52034e33f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ADB603-257D-428D-A968-90392E41D893}">
  <ds:schemaRefs>
    <ds:schemaRef ds:uri="70c9ae4c-5f1b-47e7-a14d-5c91ecbef3e0"/>
    <ds:schemaRef ds:uri="http://purl.org/dc/dcmitype/"/>
    <ds:schemaRef ds:uri="18eca78a-3838-4876-90e1-08bfd207be4e"/>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2946CCD2-2417-48B5-AD29-99B47ADA29B0}">
  <ds:schemaRefs>
    <ds:schemaRef ds:uri="http://schemas.microsoft.com/sharepoint/v3/contenttype/forms"/>
  </ds:schemaRefs>
</ds:datastoreItem>
</file>

<file path=customXml/itemProps3.xml><?xml version="1.0" encoding="utf-8"?>
<ds:datastoreItem xmlns:ds="http://schemas.openxmlformats.org/officeDocument/2006/customXml" ds:itemID="{4DBBE9AF-5178-4DF0-887B-E2ED8E13EBA3}"/>
</file>

<file path=docProps/app.xml><?xml version="1.0" encoding="utf-8"?>
<Properties xmlns="http://schemas.openxmlformats.org/officeDocument/2006/extended-properties" xmlns:vt="http://schemas.openxmlformats.org/officeDocument/2006/docPropsVTypes">
  <Template>Normal</Template>
  <TotalTime>62</TotalTime>
  <Pages>2</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 Chadwick</dc:creator>
  <cp:keywords/>
  <dc:description/>
  <cp:lastModifiedBy>Christi Chadwick</cp:lastModifiedBy>
  <cp:revision>12</cp:revision>
  <dcterms:created xsi:type="dcterms:W3CDTF">2021-01-15T17:12:00Z</dcterms:created>
  <dcterms:modified xsi:type="dcterms:W3CDTF">2021-01-15T22:14:00Z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0x010100A28B49F0BCEE7349901F0AE40A1C1C91</vt:lpwstr>
  </property>
</Properties>
</file>