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589CA" w14:textId="0A731679" w:rsidR="006B659C" w:rsidRDefault="002343C7" w:rsidP="00C060F1">
      <w:pPr>
        <w:spacing w:after="0" w:line="240" w:lineRule="auto"/>
        <w:rPr>
          <w:rFonts w:eastAsiaTheme="minorEastAsia"/>
          <w:b/>
          <w:bCs/>
        </w:rPr>
      </w:pPr>
      <w:r>
        <w:rPr>
          <w:rFonts w:eastAsiaTheme="minorEastAsia"/>
          <w:b/>
          <w:bCs/>
        </w:rPr>
        <w:t>The Importance of Community Collaborations: Recommendations for the Illinois Commission on Equitable Early Childhood Education and Care Funding</w:t>
      </w:r>
    </w:p>
    <w:p w14:paraId="29A5EE93" w14:textId="77777777" w:rsidR="006B659C" w:rsidRDefault="006B659C" w:rsidP="00C060F1">
      <w:pPr>
        <w:spacing w:after="0" w:line="240" w:lineRule="auto"/>
        <w:rPr>
          <w:rFonts w:eastAsiaTheme="minorEastAsia"/>
          <w:b/>
          <w:bCs/>
        </w:rPr>
      </w:pPr>
    </w:p>
    <w:p w14:paraId="0C31BD03" w14:textId="772776CD" w:rsidR="00133EC4" w:rsidRDefault="09319B60" w:rsidP="00C060F1">
      <w:pPr>
        <w:spacing w:after="0" w:line="240" w:lineRule="auto"/>
        <w:rPr>
          <w:rFonts w:eastAsiaTheme="minorEastAsia"/>
        </w:rPr>
      </w:pPr>
      <w:r w:rsidRPr="6DDE88AF">
        <w:rPr>
          <w:rFonts w:eastAsiaTheme="minorEastAsia"/>
        </w:rPr>
        <w:t xml:space="preserve">Among the recommendations that the </w:t>
      </w:r>
      <w:r w:rsidR="00DB344F" w:rsidRPr="6DDE88AF">
        <w:rPr>
          <w:rFonts w:eastAsiaTheme="minorEastAsia"/>
        </w:rPr>
        <w:t>Illinois Commission on Equitable Early Childhood Education and Care Funding</w:t>
      </w:r>
      <w:r w:rsidR="00AD6BD3" w:rsidRPr="6DDE88AF">
        <w:rPr>
          <w:rFonts w:eastAsiaTheme="minorEastAsia"/>
        </w:rPr>
        <w:t xml:space="preserve"> </w:t>
      </w:r>
      <w:r w:rsidR="46EED88B" w:rsidRPr="6DDE88AF">
        <w:rPr>
          <w:rFonts w:eastAsiaTheme="minorEastAsia"/>
        </w:rPr>
        <w:t xml:space="preserve">(the Commission) </w:t>
      </w:r>
      <w:r w:rsidR="00AD6BD3" w:rsidRPr="6DDE88AF">
        <w:rPr>
          <w:rFonts w:eastAsiaTheme="minorEastAsia"/>
        </w:rPr>
        <w:t xml:space="preserve">is considering </w:t>
      </w:r>
      <w:r w:rsidR="6DD9D49D" w:rsidRPr="6DDE88AF">
        <w:rPr>
          <w:rFonts w:eastAsiaTheme="minorEastAsia"/>
        </w:rPr>
        <w:t>are consolidating</w:t>
      </w:r>
      <w:r w:rsidR="00133EC4" w:rsidRPr="6DDE88AF">
        <w:rPr>
          <w:rFonts w:eastAsiaTheme="minorEastAsia"/>
        </w:rPr>
        <w:t xml:space="preserve"> management and oversight </w:t>
      </w:r>
      <w:r w:rsidR="219C1646" w:rsidRPr="6DDE88AF">
        <w:rPr>
          <w:rFonts w:eastAsiaTheme="minorEastAsia"/>
        </w:rPr>
        <w:t xml:space="preserve">of early childhood </w:t>
      </w:r>
      <w:r w:rsidR="00133EC4" w:rsidRPr="6DDE88AF">
        <w:rPr>
          <w:rFonts w:eastAsiaTheme="minorEastAsia"/>
        </w:rPr>
        <w:t>programs into one agency and transitioning to a funding formula</w:t>
      </w:r>
      <w:r w:rsidR="74ACD1C6" w:rsidRPr="6DDE88AF">
        <w:rPr>
          <w:rFonts w:eastAsiaTheme="minorEastAsia"/>
        </w:rPr>
        <w:t xml:space="preserve"> to inform multi-year contracts to providers</w:t>
      </w:r>
      <w:r w:rsidR="00133EC4" w:rsidRPr="6DDE88AF">
        <w:rPr>
          <w:rFonts w:eastAsiaTheme="minorEastAsia"/>
        </w:rPr>
        <w:t xml:space="preserve">. While these proposed changes </w:t>
      </w:r>
      <w:r w:rsidR="36088A5B" w:rsidRPr="6DDE88AF">
        <w:rPr>
          <w:rFonts w:eastAsiaTheme="minorEastAsia"/>
        </w:rPr>
        <w:t>will likely</w:t>
      </w:r>
      <w:r w:rsidR="007F7489" w:rsidRPr="6DDE88AF">
        <w:rPr>
          <w:rFonts w:eastAsiaTheme="minorEastAsia"/>
        </w:rPr>
        <w:t xml:space="preserve"> have positive impacts, </w:t>
      </w:r>
      <w:r w:rsidR="00AD6BD3" w:rsidRPr="6DDE88AF">
        <w:rPr>
          <w:rFonts w:eastAsiaTheme="minorEastAsia"/>
        </w:rPr>
        <w:t xml:space="preserve">they </w:t>
      </w:r>
      <w:r w:rsidR="007256E3" w:rsidRPr="6DDE88AF">
        <w:rPr>
          <w:rFonts w:eastAsiaTheme="minorEastAsia"/>
        </w:rPr>
        <w:t>will</w:t>
      </w:r>
      <w:r w:rsidR="00AD6BD3" w:rsidRPr="6DDE88AF">
        <w:rPr>
          <w:rFonts w:eastAsiaTheme="minorEastAsia"/>
        </w:rPr>
        <w:t xml:space="preserve"> not </w:t>
      </w:r>
      <w:r w:rsidR="007256E3" w:rsidRPr="6DDE88AF">
        <w:rPr>
          <w:rFonts w:eastAsiaTheme="minorEastAsia"/>
        </w:rPr>
        <w:t xml:space="preserve">fully </w:t>
      </w:r>
      <w:r w:rsidR="00AD6BD3" w:rsidRPr="6DDE88AF">
        <w:rPr>
          <w:rFonts w:eastAsiaTheme="minorEastAsia"/>
        </w:rPr>
        <w:t xml:space="preserve">address disparities and </w:t>
      </w:r>
      <w:r w:rsidR="00323FCB" w:rsidRPr="6DDE88AF">
        <w:rPr>
          <w:rFonts w:eastAsiaTheme="minorEastAsia"/>
        </w:rPr>
        <w:t xml:space="preserve">the </w:t>
      </w:r>
      <w:r w:rsidR="00AD6BD3" w:rsidRPr="6DDE88AF">
        <w:rPr>
          <w:rFonts w:eastAsiaTheme="minorEastAsia"/>
        </w:rPr>
        <w:t>inequitable distribution of resources endemic in our current system.</w:t>
      </w:r>
      <w:r w:rsidR="0D33F0A5" w:rsidRPr="6DDE88AF">
        <w:rPr>
          <w:rFonts w:eastAsiaTheme="minorEastAsia"/>
        </w:rPr>
        <w:t xml:space="preserve"> The Commission’s recommendations must also include</w:t>
      </w:r>
      <w:r w:rsidR="24B8B1BF" w:rsidRPr="6DDE88AF">
        <w:rPr>
          <w:rFonts w:eastAsiaTheme="minorEastAsia"/>
        </w:rPr>
        <w:t xml:space="preserve"> investments in</w:t>
      </w:r>
      <w:r w:rsidR="0D33F0A5" w:rsidRPr="6DDE88AF">
        <w:rPr>
          <w:rFonts w:eastAsiaTheme="minorEastAsia"/>
        </w:rPr>
        <w:t xml:space="preserve"> the community-level structures needed to account for local priorities and build local capacity in areas that lack resources, so that all children are able to access high-quality early childhood programing and achieve equitable outcomes, no matter their race, ethnicity, culture, ability, language, income, and geography.</w:t>
      </w:r>
    </w:p>
    <w:p w14:paraId="34697C2B" w14:textId="77777777" w:rsidR="00C060F1" w:rsidRPr="009147DF" w:rsidRDefault="00C060F1" w:rsidP="00C060F1">
      <w:pPr>
        <w:spacing w:after="0" w:line="240" w:lineRule="auto"/>
        <w:rPr>
          <w:rFonts w:eastAsiaTheme="minorEastAsia"/>
        </w:rPr>
      </w:pPr>
    </w:p>
    <w:p w14:paraId="7A930B61" w14:textId="5ED711D4" w:rsidR="00C060F1" w:rsidRDefault="00AD6BD3" w:rsidP="00C060F1">
      <w:pPr>
        <w:spacing w:after="0" w:line="240" w:lineRule="auto"/>
        <w:rPr>
          <w:rFonts w:eastAsiaTheme="minorEastAsia"/>
        </w:rPr>
      </w:pPr>
      <w:r w:rsidRPr="06ABDFF0">
        <w:rPr>
          <w:rFonts w:eastAsiaTheme="minorEastAsia"/>
        </w:rPr>
        <w:t>At present,</w:t>
      </w:r>
      <w:r w:rsidR="007F7489" w:rsidRPr="06ABDFF0">
        <w:rPr>
          <w:rFonts w:eastAsiaTheme="minorEastAsia"/>
        </w:rPr>
        <w:t xml:space="preserve"> resources are </w:t>
      </w:r>
      <w:r w:rsidR="0072492F" w:rsidRPr="06ABDFF0">
        <w:rPr>
          <w:rFonts w:eastAsiaTheme="minorEastAsia"/>
        </w:rPr>
        <w:t>inequitably distributed</w:t>
      </w:r>
      <w:r w:rsidR="007F7489" w:rsidRPr="06ABDFF0">
        <w:rPr>
          <w:rFonts w:eastAsiaTheme="minorEastAsia"/>
        </w:rPr>
        <w:t xml:space="preserve"> across the state with some communities having an abundance of early childhood </w:t>
      </w:r>
      <w:r w:rsidR="00323FCB" w:rsidRPr="06ABDFF0">
        <w:rPr>
          <w:rFonts w:eastAsiaTheme="minorEastAsia"/>
        </w:rPr>
        <w:t>resources</w:t>
      </w:r>
      <w:r w:rsidR="007F7489" w:rsidRPr="06ABDFF0">
        <w:rPr>
          <w:rFonts w:eastAsiaTheme="minorEastAsia"/>
        </w:rPr>
        <w:t xml:space="preserve"> while other</w:t>
      </w:r>
      <w:r w:rsidR="00F33E86" w:rsidRPr="06ABDFF0">
        <w:rPr>
          <w:rFonts w:eastAsiaTheme="minorEastAsia"/>
        </w:rPr>
        <w:t xml:space="preserve"> areas</w:t>
      </w:r>
      <w:r w:rsidR="007F7489" w:rsidRPr="06ABDFF0">
        <w:rPr>
          <w:rFonts w:eastAsiaTheme="minorEastAsia"/>
        </w:rPr>
        <w:t xml:space="preserve"> are early childhood deserts.</w:t>
      </w:r>
      <w:r w:rsidR="00C03466" w:rsidRPr="06ABDFF0">
        <w:rPr>
          <w:rFonts w:eastAsiaTheme="minorEastAsia"/>
        </w:rPr>
        <w:t xml:space="preserve"> Even worse, areas with scar</w:t>
      </w:r>
      <w:r w:rsidR="00561781" w:rsidRPr="06ABDFF0">
        <w:rPr>
          <w:rFonts w:eastAsiaTheme="minorEastAsia"/>
        </w:rPr>
        <w:t>c</w:t>
      </w:r>
      <w:r w:rsidR="00C03466" w:rsidRPr="06ABDFF0">
        <w:rPr>
          <w:rFonts w:eastAsiaTheme="minorEastAsia"/>
        </w:rPr>
        <w:t xml:space="preserve">e early childhood </w:t>
      </w:r>
      <w:r w:rsidR="00561781" w:rsidRPr="06ABDFF0">
        <w:rPr>
          <w:rFonts w:eastAsiaTheme="minorEastAsia"/>
        </w:rPr>
        <w:t>services</w:t>
      </w:r>
      <w:r w:rsidR="00C03466" w:rsidRPr="06ABDFF0">
        <w:rPr>
          <w:rFonts w:eastAsiaTheme="minorEastAsia"/>
        </w:rPr>
        <w:t xml:space="preserve"> </w:t>
      </w:r>
      <w:r w:rsidR="00C41A34" w:rsidRPr="06ABDFF0">
        <w:rPr>
          <w:rFonts w:eastAsiaTheme="minorEastAsia"/>
        </w:rPr>
        <w:t xml:space="preserve">often </w:t>
      </w:r>
      <w:r w:rsidR="00561781" w:rsidRPr="06ABDFF0">
        <w:rPr>
          <w:rFonts w:eastAsiaTheme="minorEastAsia"/>
        </w:rPr>
        <w:t>do</w:t>
      </w:r>
      <w:r w:rsidR="00C03466" w:rsidRPr="06ABDFF0">
        <w:rPr>
          <w:rFonts w:eastAsiaTheme="minorEastAsia"/>
        </w:rPr>
        <w:t xml:space="preserve"> not apply for </w:t>
      </w:r>
      <w:r w:rsidR="00323FCB" w:rsidRPr="06ABDFF0">
        <w:rPr>
          <w:rFonts w:eastAsiaTheme="minorEastAsia"/>
        </w:rPr>
        <w:t>more resources</w:t>
      </w:r>
      <w:r w:rsidR="00561781" w:rsidRPr="06ABDFF0">
        <w:rPr>
          <w:rFonts w:eastAsiaTheme="minorEastAsia"/>
        </w:rPr>
        <w:t>,</w:t>
      </w:r>
      <w:r w:rsidR="00C03466" w:rsidRPr="06ABDFF0">
        <w:rPr>
          <w:rFonts w:eastAsiaTheme="minorEastAsia"/>
        </w:rPr>
        <w:t xml:space="preserve"> because they lack the capacity</w:t>
      </w:r>
      <w:r w:rsidR="00323FCB" w:rsidRPr="06ABDFF0">
        <w:rPr>
          <w:rFonts w:eastAsiaTheme="minorEastAsia"/>
        </w:rPr>
        <w:t xml:space="preserve"> and infrastructure</w:t>
      </w:r>
      <w:r w:rsidR="00C03466" w:rsidRPr="06ABDFF0">
        <w:rPr>
          <w:rFonts w:eastAsiaTheme="minorEastAsia"/>
        </w:rPr>
        <w:t xml:space="preserve"> </w:t>
      </w:r>
      <w:r w:rsidR="00323FCB" w:rsidRPr="06ABDFF0">
        <w:rPr>
          <w:rFonts w:eastAsiaTheme="minorEastAsia"/>
        </w:rPr>
        <w:t xml:space="preserve">to draw down the funds. </w:t>
      </w:r>
      <w:r w:rsidR="00C41A34" w:rsidRPr="06ABDFF0">
        <w:rPr>
          <w:rFonts w:eastAsiaTheme="minorEastAsia"/>
        </w:rPr>
        <w:t>Examples of these types of barriers include a lack of facilities, workforce</w:t>
      </w:r>
      <w:r w:rsidR="0072492F" w:rsidRPr="06ABDFF0">
        <w:rPr>
          <w:rFonts w:eastAsiaTheme="minorEastAsia"/>
        </w:rPr>
        <w:t xml:space="preserve"> shortages</w:t>
      </w:r>
      <w:r w:rsidR="00C41A34" w:rsidRPr="06ABDFF0">
        <w:rPr>
          <w:rFonts w:eastAsiaTheme="minorEastAsia"/>
        </w:rPr>
        <w:t xml:space="preserve">, </w:t>
      </w:r>
      <w:r w:rsidR="0072492F" w:rsidRPr="06ABDFF0">
        <w:rPr>
          <w:rFonts w:eastAsiaTheme="minorEastAsia"/>
        </w:rPr>
        <w:t>and lack of</w:t>
      </w:r>
      <w:r w:rsidR="00C963BF" w:rsidRPr="06ABDFF0">
        <w:rPr>
          <w:rFonts w:eastAsiaTheme="minorEastAsia"/>
        </w:rPr>
        <w:t xml:space="preserve"> </w:t>
      </w:r>
      <w:r w:rsidR="00C41A34" w:rsidRPr="06ABDFF0">
        <w:rPr>
          <w:rFonts w:eastAsiaTheme="minorEastAsia"/>
        </w:rPr>
        <w:t xml:space="preserve">existing programs on which to build for increased quality and access. </w:t>
      </w:r>
      <w:r w:rsidR="008D4B52" w:rsidRPr="06ABDFF0">
        <w:rPr>
          <w:rFonts w:eastAsiaTheme="minorEastAsia"/>
        </w:rPr>
        <w:t xml:space="preserve">A dearth of </w:t>
      </w:r>
      <w:r w:rsidR="00C41A34" w:rsidRPr="06ABDFF0">
        <w:rPr>
          <w:rFonts w:eastAsiaTheme="minorEastAsia"/>
        </w:rPr>
        <w:t>community-level infrastructure also makes it difficult to bring stakeholders together</w:t>
      </w:r>
      <w:r w:rsidR="0072492F" w:rsidRPr="06ABDFF0">
        <w:rPr>
          <w:rFonts w:eastAsiaTheme="minorEastAsia"/>
        </w:rPr>
        <w:t xml:space="preserve"> across the early childhood system</w:t>
      </w:r>
      <w:r w:rsidR="00C41A34" w:rsidRPr="06ABDFF0">
        <w:rPr>
          <w:rFonts w:eastAsiaTheme="minorEastAsia"/>
        </w:rPr>
        <w:t xml:space="preserve"> </w:t>
      </w:r>
      <w:r w:rsidR="0072492F" w:rsidRPr="06ABDFF0">
        <w:rPr>
          <w:rFonts w:eastAsiaTheme="minorEastAsia"/>
        </w:rPr>
        <w:t>to do the capacity building and</w:t>
      </w:r>
      <w:r w:rsidR="00C41A34" w:rsidRPr="06ABDFF0">
        <w:rPr>
          <w:rFonts w:eastAsiaTheme="minorEastAsia"/>
        </w:rPr>
        <w:t xml:space="preserve"> pla</w:t>
      </w:r>
      <w:r w:rsidR="0072492F" w:rsidRPr="06ABDFF0">
        <w:rPr>
          <w:rFonts w:eastAsiaTheme="minorEastAsia"/>
        </w:rPr>
        <w:t xml:space="preserve">nning required to build a </w:t>
      </w:r>
      <w:r w:rsidR="00C41A34" w:rsidRPr="06ABDFF0">
        <w:rPr>
          <w:rFonts w:eastAsiaTheme="minorEastAsia"/>
        </w:rPr>
        <w:t>coherent, robust system of early childhood services</w:t>
      </w:r>
      <w:r w:rsidR="008D4B52" w:rsidRPr="06ABDFF0">
        <w:rPr>
          <w:rFonts w:eastAsiaTheme="minorEastAsia"/>
        </w:rPr>
        <w:t>.</w:t>
      </w:r>
      <w:r w:rsidR="0072492F" w:rsidRPr="06ABDFF0">
        <w:rPr>
          <w:rFonts w:eastAsiaTheme="minorEastAsia"/>
        </w:rPr>
        <w:t xml:space="preserve"> </w:t>
      </w:r>
      <w:r w:rsidR="009147DF" w:rsidRPr="06ABDFF0">
        <w:rPr>
          <w:rFonts w:eastAsiaTheme="minorEastAsia"/>
        </w:rPr>
        <w:t xml:space="preserve">Furthermore, areas </w:t>
      </w:r>
      <w:r w:rsidR="000506FF" w:rsidRPr="06ABDFF0">
        <w:rPr>
          <w:rFonts w:eastAsiaTheme="minorEastAsia"/>
        </w:rPr>
        <w:t xml:space="preserve">without a strong local collaborative </w:t>
      </w:r>
      <w:r w:rsidR="009147DF" w:rsidRPr="06ABDFF0">
        <w:rPr>
          <w:rFonts w:eastAsiaTheme="minorEastAsia"/>
        </w:rPr>
        <w:t>that do have early childhood programming</w:t>
      </w:r>
      <w:r w:rsidR="00F945BE" w:rsidRPr="06ABDFF0">
        <w:rPr>
          <w:rFonts w:eastAsiaTheme="minorEastAsia"/>
        </w:rPr>
        <w:t xml:space="preserve"> still </w:t>
      </w:r>
      <w:r w:rsidR="002F5097" w:rsidRPr="06ABDFF0">
        <w:rPr>
          <w:rFonts w:eastAsiaTheme="minorEastAsia"/>
        </w:rPr>
        <w:t xml:space="preserve">face barriers </w:t>
      </w:r>
      <w:r w:rsidR="00F945BE" w:rsidRPr="06ABDFF0">
        <w:rPr>
          <w:rFonts w:eastAsiaTheme="minorEastAsia"/>
        </w:rPr>
        <w:t xml:space="preserve">in </w:t>
      </w:r>
      <w:r w:rsidR="002F5097" w:rsidRPr="06ABDFF0">
        <w:rPr>
          <w:rFonts w:eastAsiaTheme="minorEastAsia"/>
        </w:rPr>
        <w:t>supporting families</w:t>
      </w:r>
      <w:r w:rsidR="00AE2AE3">
        <w:rPr>
          <w:rFonts w:eastAsiaTheme="minorEastAsia"/>
        </w:rPr>
        <w:t xml:space="preserve"> to</w:t>
      </w:r>
      <w:r w:rsidR="002F5097" w:rsidRPr="06ABDFF0">
        <w:rPr>
          <w:rFonts w:eastAsiaTheme="minorEastAsia"/>
        </w:rPr>
        <w:t xml:space="preserve"> access the services they need.</w:t>
      </w:r>
    </w:p>
    <w:p w14:paraId="0B7D2F02" w14:textId="77777777" w:rsidR="00C060F1" w:rsidRDefault="00C060F1" w:rsidP="00C060F1">
      <w:pPr>
        <w:spacing w:after="0" w:line="240" w:lineRule="auto"/>
        <w:rPr>
          <w:rFonts w:eastAsiaTheme="minorEastAsia"/>
        </w:rPr>
      </w:pPr>
    </w:p>
    <w:p w14:paraId="71AA7896" w14:textId="762884D7" w:rsidR="00C53F91" w:rsidRDefault="007256E3" w:rsidP="00C060F1">
      <w:pPr>
        <w:spacing w:after="0" w:line="240" w:lineRule="auto"/>
        <w:rPr>
          <w:rFonts w:eastAsiaTheme="minorEastAsia"/>
        </w:rPr>
      </w:pPr>
      <w:r w:rsidRPr="06ABDFF0">
        <w:rPr>
          <w:rFonts w:eastAsiaTheme="minorEastAsia"/>
        </w:rPr>
        <w:t>T</w:t>
      </w:r>
      <w:r w:rsidR="007F7489" w:rsidRPr="06ABDFF0">
        <w:rPr>
          <w:rFonts w:eastAsiaTheme="minorEastAsia"/>
        </w:rPr>
        <w:t xml:space="preserve">he </w:t>
      </w:r>
      <w:r w:rsidR="43327CF4" w:rsidRPr="06ABDFF0">
        <w:rPr>
          <w:rFonts w:eastAsiaTheme="minorEastAsia"/>
        </w:rPr>
        <w:t>Commission's</w:t>
      </w:r>
      <w:r w:rsidR="7B98E1CB" w:rsidRPr="06ABDFF0">
        <w:rPr>
          <w:rFonts w:eastAsiaTheme="minorEastAsia"/>
        </w:rPr>
        <w:t xml:space="preserve"> </w:t>
      </w:r>
      <w:r w:rsidR="007F7489" w:rsidRPr="06ABDFF0">
        <w:rPr>
          <w:rFonts w:eastAsiaTheme="minorEastAsia"/>
        </w:rPr>
        <w:t>proposed recommendations</w:t>
      </w:r>
      <w:r w:rsidR="002F5097" w:rsidRPr="06ABDFF0">
        <w:rPr>
          <w:rFonts w:eastAsiaTheme="minorEastAsia"/>
        </w:rPr>
        <w:t xml:space="preserve"> </w:t>
      </w:r>
      <w:r w:rsidRPr="06ABDFF0">
        <w:rPr>
          <w:rFonts w:eastAsiaTheme="minorEastAsia"/>
        </w:rPr>
        <w:t xml:space="preserve">will not, on their own, </w:t>
      </w:r>
      <w:r w:rsidR="007F7489" w:rsidRPr="06ABDFF0">
        <w:rPr>
          <w:rFonts w:eastAsiaTheme="minorEastAsia"/>
        </w:rPr>
        <w:t xml:space="preserve">effectively </w:t>
      </w:r>
      <w:r w:rsidR="00C55935" w:rsidRPr="06ABDFF0">
        <w:rPr>
          <w:rFonts w:eastAsiaTheme="minorEastAsia"/>
        </w:rPr>
        <w:t xml:space="preserve">tackle </w:t>
      </w:r>
      <w:r w:rsidR="007F7489" w:rsidRPr="06ABDFF0">
        <w:rPr>
          <w:rFonts w:eastAsiaTheme="minorEastAsia"/>
        </w:rPr>
        <w:t xml:space="preserve">these </w:t>
      </w:r>
      <w:r w:rsidR="0072492F" w:rsidRPr="06ABDFF0">
        <w:rPr>
          <w:rFonts w:eastAsiaTheme="minorEastAsia"/>
        </w:rPr>
        <w:t>challenges</w:t>
      </w:r>
      <w:r w:rsidR="440371EF" w:rsidRPr="06ABDFF0">
        <w:rPr>
          <w:rFonts w:eastAsiaTheme="minorEastAsia"/>
        </w:rPr>
        <w:t xml:space="preserve"> if they are focused on the state-level alone</w:t>
      </w:r>
      <w:r w:rsidR="002566ED" w:rsidRPr="06ABDFF0">
        <w:rPr>
          <w:rFonts w:eastAsiaTheme="minorEastAsia"/>
        </w:rPr>
        <w:t>.</w:t>
      </w:r>
      <w:r w:rsidR="00C55935" w:rsidRPr="06ABDFF0">
        <w:rPr>
          <w:rFonts w:eastAsiaTheme="minorEastAsia"/>
        </w:rPr>
        <w:t xml:space="preserve"> </w:t>
      </w:r>
      <w:r w:rsidR="00C41A34" w:rsidRPr="06ABDFF0">
        <w:rPr>
          <w:rFonts w:eastAsiaTheme="minorEastAsia"/>
        </w:rPr>
        <w:t xml:space="preserve">For example, a community that </w:t>
      </w:r>
      <w:r w:rsidR="000B69E0" w:rsidRPr="06ABDFF0">
        <w:rPr>
          <w:rFonts w:eastAsiaTheme="minorEastAsia"/>
        </w:rPr>
        <w:t>currently does</w:t>
      </w:r>
      <w:r w:rsidR="009147DF" w:rsidRPr="06ABDFF0">
        <w:rPr>
          <w:rFonts w:eastAsiaTheme="minorEastAsia"/>
        </w:rPr>
        <w:t xml:space="preserve"> not</w:t>
      </w:r>
      <w:r w:rsidR="0072492F" w:rsidRPr="06ABDFF0">
        <w:rPr>
          <w:rFonts w:eastAsiaTheme="minorEastAsia"/>
        </w:rPr>
        <w:t xml:space="preserve"> </w:t>
      </w:r>
      <w:r w:rsidR="000B69E0" w:rsidRPr="06ABDFF0">
        <w:rPr>
          <w:rFonts w:eastAsiaTheme="minorEastAsia"/>
        </w:rPr>
        <w:t xml:space="preserve">have the capacity to plan for and identify the best use of resources across a range of </w:t>
      </w:r>
      <w:r w:rsidR="009147DF" w:rsidRPr="06ABDFF0">
        <w:rPr>
          <w:rFonts w:eastAsiaTheme="minorEastAsia"/>
        </w:rPr>
        <w:t>early childhood services</w:t>
      </w:r>
      <w:r w:rsidR="000B69E0" w:rsidRPr="06ABDFF0">
        <w:rPr>
          <w:rFonts w:eastAsiaTheme="minorEastAsia"/>
        </w:rPr>
        <w:t xml:space="preserve"> in preparation for an RFP will still face those challenges in allocating funding sent to the local level through a funding formula.</w:t>
      </w:r>
      <w:r w:rsidR="00D51BA6" w:rsidRPr="06ABDFF0">
        <w:rPr>
          <w:rFonts w:eastAsiaTheme="minorEastAsia"/>
        </w:rPr>
        <w:t xml:space="preserve"> </w:t>
      </w:r>
      <w:r w:rsidR="004F32DA" w:rsidRPr="06ABDFF0">
        <w:rPr>
          <w:rFonts w:eastAsiaTheme="minorEastAsia"/>
        </w:rPr>
        <w:t>In fact, u</w:t>
      </w:r>
      <w:r w:rsidR="00E76369" w:rsidRPr="06ABDFF0">
        <w:rPr>
          <w:rFonts w:eastAsiaTheme="minorEastAsia"/>
        </w:rPr>
        <w:t>sing a formula to allocate</w:t>
      </w:r>
      <w:r w:rsidR="00060BC0" w:rsidRPr="06ABDFF0">
        <w:rPr>
          <w:rFonts w:eastAsiaTheme="minorEastAsia"/>
        </w:rPr>
        <w:t xml:space="preserve"> funding to </w:t>
      </w:r>
      <w:r w:rsidR="00D51BA6" w:rsidRPr="06ABDFF0">
        <w:rPr>
          <w:rFonts w:eastAsiaTheme="minorEastAsia"/>
        </w:rPr>
        <w:t xml:space="preserve">high-needs </w:t>
      </w:r>
      <w:r w:rsidR="00B56449" w:rsidRPr="06ABDFF0">
        <w:rPr>
          <w:rFonts w:eastAsiaTheme="minorEastAsia"/>
        </w:rPr>
        <w:t xml:space="preserve">areas </w:t>
      </w:r>
      <w:r w:rsidR="008C4AD4" w:rsidRPr="06ABDFF0">
        <w:rPr>
          <w:rFonts w:eastAsiaTheme="minorEastAsia"/>
        </w:rPr>
        <w:t>that lack a</w:t>
      </w:r>
      <w:r w:rsidR="006A6C4F" w:rsidRPr="06ABDFF0">
        <w:rPr>
          <w:rFonts w:eastAsiaTheme="minorEastAsia"/>
        </w:rPr>
        <w:t xml:space="preserve"> community level infrastructure </w:t>
      </w:r>
      <w:r w:rsidR="00297C53" w:rsidRPr="06ABDFF0">
        <w:rPr>
          <w:rFonts w:eastAsiaTheme="minorEastAsia"/>
        </w:rPr>
        <w:t>may result in the</w:t>
      </w:r>
      <w:r w:rsidR="001F47CC" w:rsidRPr="06ABDFF0">
        <w:rPr>
          <w:rFonts w:eastAsiaTheme="minorEastAsia"/>
        </w:rPr>
        <w:t>se</w:t>
      </w:r>
      <w:r w:rsidR="00D51BA6" w:rsidRPr="06ABDFF0">
        <w:rPr>
          <w:rFonts w:eastAsiaTheme="minorEastAsia"/>
        </w:rPr>
        <w:t xml:space="preserve"> funds being unspent or allocated to the easiest service to </w:t>
      </w:r>
      <w:r w:rsidR="001F47CC" w:rsidRPr="06ABDFF0">
        <w:rPr>
          <w:rFonts w:eastAsiaTheme="minorEastAsia"/>
        </w:rPr>
        <w:t>support</w:t>
      </w:r>
      <w:r w:rsidR="009E2369" w:rsidRPr="06ABDFF0">
        <w:rPr>
          <w:rFonts w:eastAsiaTheme="minorEastAsia"/>
        </w:rPr>
        <w:t xml:space="preserve">, rather than what is needed most. </w:t>
      </w:r>
    </w:p>
    <w:p w14:paraId="7366F9FE" w14:textId="77777777" w:rsidR="00C060F1" w:rsidRDefault="00C060F1" w:rsidP="00C060F1">
      <w:pPr>
        <w:spacing w:after="0" w:line="240" w:lineRule="auto"/>
        <w:rPr>
          <w:rFonts w:eastAsiaTheme="minorEastAsia"/>
        </w:rPr>
      </w:pPr>
    </w:p>
    <w:p w14:paraId="121BB06B" w14:textId="77777777" w:rsidR="00C060F1" w:rsidRDefault="00D31208" w:rsidP="00C060F1">
      <w:pPr>
        <w:spacing w:after="0" w:line="240" w:lineRule="auto"/>
        <w:rPr>
          <w:rFonts w:eastAsiaTheme="minorEastAsia"/>
        </w:rPr>
      </w:pPr>
      <w:r w:rsidRPr="6DDE88AF">
        <w:rPr>
          <w:rFonts w:eastAsiaTheme="minorEastAsia"/>
        </w:rPr>
        <w:t>Regardless of the funding mechanism, c</w:t>
      </w:r>
      <w:r w:rsidR="007256E3" w:rsidRPr="6DDE88AF">
        <w:rPr>
          <w:rFonts w:eastAsiaTheme="minorEastAsia"/>
        </w:rPr>
        <w:t xml:space="preserve">ommunities with early childhood collaborations are better positioned to access and effectively utilize resources. </w:t>
      </w:r>
      <w:r w:rsidR="00814B1F" w:rsidRPr="6DDE88AF">
        <w:rPr>
          <w:rFonts w:eastAsiaTheme="minorEastAsia"/>
        </w:rPr>
        <w:t xml:space="preserve"> E</w:t>
      </w:r>
      <w:r w:rsidR="00BB46F4" w:rsidRPr="6DDE88AF">
        <w:rPr>
          <w:rFonts w:eastAsiaTheme="minorEastAsia"/>
        </w:rPr>
        <w:t>arly childhood</w:t>
      </w:r>
      <w:r w:rsidR="44EC3C4D" w:rsidRPr="6DDE88AF">
        <w:rPr>
          <w:rFonts w:eastAsiaTheme="minorEastAsia"/>
        </w:rPr>
        <w:t xml:space="preserve"> collaborations develop a shared vision for their community and define a set of goals and shared data measurements to address a community concern.</w:t>
      </w:r>
      <w:r w:rsidR="0711465E" w:rsidRPr="6DDE88AF">
        <w:rPr>
          <w:rFonts w:eastAsiaTheme="minorEastAsia"/>
        </w:rPr>
        <w:t xml:space="preserve"> C</w:t>
      </w:r>
      <w:r w:rsidR="00814B1F" w:rsidRPr="6DDE88AF">
        <w:rPr>
          <w:rFonts w:eastAsiaTheme="minorEastAsia"/>
        </w:rPr>
        <w:t xml:space="preserve">ommunity </w:t>
      </w:r>
      <w:r w:rsidR="00F33E86" w:rsidRPr="6DDE88AF">
        <w:rPr>
          <w:rFonts w:eastAsiaTheme="minorEastAsia"/>
        </w:rPr>
        <w:t>collaborations</w:t>
      </w:r>
      <w:r w:rsidR="00C03466" w:rsidRPr="6DDE88AF">
        <w:rPr>
          <w:rFonts w:eastAsiaTheme="minorEastAsia"/>
        </w:rPr>
        <w:t xml:space="preserve"> </w:t>
      </w:r>
      <w:r w:rsidR="00323FCB" w:rsidRPr="6DDE88AF">
        <w:rPr>
          <w:rFonts w:eastAsiaTheme="minorEastAsia"/>
        </w:rPr>
        <w:t xml:space="preserve">are uniquely positioned to </w:t>
      </w:r>
      <w:r w:rsidR="007256E3" w:rsidRPr="6DDE88AF">
        <w:rPr>
          <w:rFonts w:eastAsiaTheme="minorEastAsia"/>
        </w:rPr>
        <w:t xml:space="preserve">better know and understand their local context, respond to and </w:t>
      </w:r>
      <w:r w:rsidR="00814B1F" w:rsidRPr="6DDE88AF">
        <w:rPr>
          <w:rFonts w:eastAsiaTheme="minorEastAsia"/>
        </w:rPr>
        <w:t>guide how</w:t>
      </w:r>
      <w:r w:rsidR="007256E3" w:rsidRPr="6DDE88AF">
        <w:rPr>
          <w:rFonts w:eastAsiaTheme="minorEastAsia"/>
        </w:rPr>
        <w:t xml:space="preserve"> resources </w:t>
      </w:r>
      <w:r w:rsidR="00814B1F" w:rsidRPr="6DDE88AF">
        <w:rPr>
          <w:rFonts w:eastAsiaTheme="minorEastAsia"/>
        </w:rPr>
        <w:t xml:space="preserve">should be directed </w:t>
      </w:r>
      <w:r w:rsidR="007256E3" w:rsidRPr="6DDE88AF">
        <w:rPr>
          <w:rFonts w:eastAsiaTheme="minorEastAsia"/>
        </w:rPr>
        <w:t>to meet that need, and are best positioned to understand and create the on-the-ground infrastructure to ensure efficient use of the resources available to the</w:t>
      </w:r>
      <w:r w:rsidR="00814B1F" w:rsidRPr="6DDE88AF">
        <w:rPr>
          <w:rFonts w:eastAsiaTheme="minorEastAsia"/>
        </w:rPr>
        <w:t>ir community.</w:t>
      </w:r>
      <w:r w:rsidR="00323FCB" w:rsidRPr="6DDE88AF">
        <w:rPr>
          <w:rFonts w:eastAsiaTheme="minorEastAsia"/>
        </w:rPr>
        <w:t xml:space="preserve"> </w:t>
      </w:r>
    </w:p>
    <w:p w14:paraId="30732BC4" w14:textId="77777777" w:rsidR="00C060F1" w:rsidRDefault="00C060F1" w:rsidP="00C060F1">
      <w:pPr>
        <w:spacing w:after="0" w:line="240" w:lineRule="auto"/>
        <w:rPr>
          <w:rFonts w:eastAsiaTheme="minorEastAsia"/>
        </w:rPr>
      </w:pPr>
    </w:p>
    <w:p w14:paraId="60F5D286" w14:textId="78570B2F" w:rsidR="00575D02" w:rsidRPr="009147DF" w:rsidRDefault="00BB46F4" w:rsidP="00C060F1">
      <w:pPr>
        <w:spacing w:after="0" w:line="240" w:lineRule="auto"/>
        <w:rPr>
          <w:rFonts w:eastAsiaTheme="minorEastAsia"/>
        </w:rPr>
      </w:pPr>
      <w:r w:rsidRPr="39D7E0ED">
        <w:rPr>
          <w:rFonts w:eastAsiaTheme="minorEastAsia"/>
        </w:rPr>
        <w:t xml:space="preserve">However, community collaborations, </w:t>
      </w:r>
      <w:r w:rsidR="00DF1B34">
        <w:rPr>
          <w:rFonts w:eastAsiaTheme="minorEastAsia"/>
        </w:rPr>
        <w:t xml:space="preserve">much </w:t>
      </w:r>
      <w:r w:rsidRPr="39D7E0ED">
        <w:rPr>
          <w:rFonts w:eastAsiaTheme="minorEastAsia"/>
        </w:rPr>
        <w:t>like early childhood education and care programming, exist in pockets across the state</w:t>
      </w:r>
      <w:r w:rsidR="007848B8" w:rsidRPr="39D7E0ED">
        <w:rPr>
          <w:rFonts w:eastAsiaTheme="minorEastAsia"/>
        </w:rPr>
        <w:t>, in varying structures, some funded and others not, and with varying levels of formalized activities</w:t>
      </w:r>
      <w:r w:rsidRPr="39D7E0ED">
        <w:rPr>
          <w:rFonts w:eastAsiaTheme="minorEastAsia"/>
        </w:rPr>
        <w:t xml:space="preserve">. </w:t>
      </w:r>
      <w:r w:rsidR="007848B8" w:rsidRPr="39D7E0ED">
        <w:rPr>
          <w:rFonts w:eastAsiaTheme="minorEastAsia"/>
        </w:rPr>
        <w:t xml:space="preserve">Our experience over decades of this work has not only taught us the importance of these collaborations to the success of our system, but also that our lack of providing ongoing, stable, and adequate funding for </w:t>
      </w:r>
      <w:r w:rsidR="00575D02" w:rsidRPr="39D7E0ED">
        <w:rPr>
          <w:rFonts w:eastAsiaTheme="minorEastAsia"/>
        </w:rPr>
        <w:t>community collaborations</w:t>
      </w:r>
      <w:r w:rsidR="007848B8" w:rsidRPr="39D7E0ED">
        <w:rPr>
          <w:rFonts w:eastAsiaTheme="minorEastAsia"/>
        </w:rPr>
        <w:t xml:space="preserve"> has hampered progress for children and families</w:t>
      </w:r>
      <w:r w:rsidR="00575D02" w:rsidRPr="39D7E0ED">
        <w:rPr>
          <w:rFonts w:eastAsiaTheme="minorEastAsia"/>
        </w:rPr>
        <w:t>. Once community collaborations are funded</w:t>
      </w:r>
      <w:r w:rsidR="00561781" w:rsidRPr="39D7E0ED">
        <w:rPr>
          <w:rFonts w:eastAsiaTheme="minorEastAsia"/>
        </w:rPr>
        <w:t xml:space="preserve"> statewide and seen as </w:t>
      </w:r>
      <w:r w:rsidR="009815C0" w:rsidRPr="39D7E0ED">
        <w:rPr>
          <w:rFonts w:eastAsiaTheme="minorEastAsia"/>
        </w:rPr>
        <w:t>having a</w:t>
      </w:r>
      <w:r w:rsidR="00561781" w:rsidRPr="39D7E0ED">
        <w:rPr>
          <w:rFonts w:eastAsiaTheme="minorEastAsia"/>
        </w:rPr>
        <w:t xml:space="preserve"> critical </w:t>
      </w:r>
      <w:r w:rsidR="008B4719">
        <w:rPr>
          <w:rFonts w:eastAsiaTheme="minorEastAsia"/>
        </w:rPr>
        <w:t>role</w:t>
      </w:r>
      <w:r w:rsidR="00561781" w:rsidRPr="39D7E0ED">
        <w:rPr>
          <w:rFonts w:eastAsiaTheme="minorEastAsia"/>
        </w:rPr>
        <w:t xml:space="preserve"> in our early childhood system</w:t>
      </w:r>
      <w:r w:rsidR="00575D02" w:rsidRPr="39D7E0ED">
        <w:rPr>
          <w:rFonts w:eastAsiaTheme="minorEastAsia"/>
        </w:rPr>
        <w:t>, they</w:t>
      </w:r>
      <w:r w:rsidR="00561781" w:rsidRPr="39D7E0ED">
        <w:rPr>
          <w:rFonts w:eastAsiaTheme="minorEastAsia"/>
        </w:rPr>
        <w:t xml:space="preserve"> could</w:t>
      </w:r>
      <w:r w:rsidR="00575D02" w:rsidRPr="39D7E0ED">
        <w:rPr>
          <w:rFonts w:eastAsiaTheme="minorEastAsia"/>
        </w:rPr>
        <w:t xml:space="preserve"> hold the responsibility </w:t>
      </w:r>
      <w:r w:rsidR="008B4719">
        <w:rPr>
          <w:rFonts w:eastAsiaTheme="minorEastAsia"/>
        </w:rPr>
        <w:t xml:space="preserve">for a set of key </w:t>
      </w:r>
      <w:r w:rsidR="00575D02" w:rsidRPr="39D7E0ED">
        <w:rPr>
          <w:rFonts w:eastAsiaTheme="minorEastAsia"/>
        </w:rPr>
        <w:t>fun</w:t>
      </w:r>
      <w:r w:rsidR="008B4719">
        <w:rPr>
          <w:rFonts w:eastAsiaTheme="minorEastAsia"/>
        </w:rPr>
        <w:t xml:space="preserve">ctions, which would have associated targets and outcomes defined at the state level: </w:t>
      </w:r>
    </w:p>
    <w:p w14:paraId="428A8E7B" w14:textId="77777777" w:rsidR="00575D02" w:rsidRPr="009147DF" w:rsidRDefault="00575D02" w:rsidP="00C060F1">
      <w:pPr>
        <w:pStyle w:val="ListParagraph"/>
        <w:numPr>
          <w:ilvl w:val="0"/>
          <w:numId w:val="1"/>
        </w:numPr>
        <w:autoSpaceDE w:val="0"/>
        <w:autoSpaceDN w:val="0"/>
        <w:adjustRightInd w:val="0"/>
        <w:rPr>
          <w:rFonts w:eastAsiaTheme="minorEastAsia"/>
          <w:sz w:val="22"/>
          <w:szCs w:val="22"/>
        </w:rPr>
      </w:pPr>
      <w:r w:rsidRPr="39D7E0ED">
        <w:rPr>
          <w:rFonts w:eastAsiaTheme="minorEastAsia"/>
          <w:sz w:val="22"/>
          <w:szCs w:val="22"/>
        </w:rPr>
        <w:lastRenderedPageBreak/>
        <w:t>Community driven planning for 0-5 services and accessing funding opportunities;</w:t>
      </w:r>
    </w:p>
    <w:p w14:paraId="5888E557" w14:textId="77777777" w:rsidR="00575D02" w:rsidRPr="009147DF" w:rsidRDefault="00575D02" w:rsidP="00C060F1">
      <w:pPr>
        <w:pStyle w:val="ListParagraph"/>
        <w:numPr>
          <w:ilvl w:val="0"/>
          <w:numId w:val="1"/>
        </w:numPr>
        <w:autoSpaceDE w:val="0"/>
        <w:autoSpaceDN w:val="0"/>
        <w:adjustRightInd w:val="0"/>
        <w:rPr>
          <w:rFonts w:eastAsiaTheme="minorEastAsia"/>
          <w:sz w:val="22"/>
          <w:szCs w:val="22"/>
        </w:rPr>
      </w:pPr>
      <w:r w:rsidRPr="39D7E0ED">
        <w:rPr>
          <w:rFonts w:eastAsiaTheme="minorEastAsia"/>
          <w:sz w:val="22"/>
          <w:szCs w:val="22"/>
        </w:rPr>
        <w:t xml:space="preserve">Supporting full enrollment and staffing in all programs; </w:t>
      </w:r>
    </w:p>
    <w:p w14:paraId="16D32096" w14:textId="77777777" w:rsidR="00575D02" w:rsidRPr="009147DF" w:rsidRDefault="00575D02" w:rsidP="00C060F1">
      <w:pPr>
        <w:pStyle w:val="ListParagraph"/>
        <w:numPr>
          <w:ilvl w:val="0"/>
          <w:numId w:val="1"/>
        </w:numPr>
        <w:autoSpaceDE w:val="0"/>
        <w:autoSpaceDN w:val="0"/>
        <w:adjustRightInd w:val="0"/>
        <w:rPr>
          <w:rFonts w:eastAsiaTheme="minorEastAsia"/>
          <w:sz w:val="22"/>
          <w:szCs w:val="22"/>
        </w:rPr>
      </w:pPr>
      <w:r w:rsidRPr="39D7E0ED">
        <w:rPr>
          <w:rFonts w:eastAsiaTheme="minorEastAsia"/>
          <w:sz w:val="22"/>
          <w:szCs w:val="22"/>
        </w:rPr>
        <w:t xml:space="preserve">Engagement of the families who most need services; </w:t>
      </w:r>
    </w:p>
    <w:p w14:paraId="3C95D623" w14:textId="77777777" w:rsidR="00575D02" w:rsidRPr="009147DF" w:rsidRDefault="00575D02" w:rsidP="00C060F1">
      <w:pPr>
        <w:pStyle w:val="ListParagraph"/>
        <w:numPr>
          <w:ilvl w:val="0"/>
          <w:numId w:val="1"/>
        </w:numPr>
        <w:autoSpaceDE w:val="0"/>
        <w:autoSpaceDN w:val="0"/>
        <w:adjustRightInd w:val="0"/>
        <w:rPr>
          <w:rFonts w:eastAsiaTheme="minorEastAsia"/>
          <w:sz w:val="22"/>
          <w:szCs w:val="22"/>
        </w:rPr>
      </w:pPr>
      <w:r w:rsidRPr="39D7E0ED">
        <w:rPr>
          <w:rFonts w:eastAsiaTheme="minorEastAsia"/>
          <w:sz w:val="22"/>
          <w:szCs w:val="22"/>
        </w:rPr>
        <w:t>A “no wrong door” approach for all families seeking services and supports; and</w:t>
      </w:r>
      <w:r w:rsidRPr="39D7E0ED">
        <w:rPr>
          <w:rFonts w:eastAsiaTheme="minorEastAsia"/>
          <w:noProof/>
          <w:sz w:val="22"/>
          <w:szCs w:val="22"/>
        </w:rPr>
        <w:t xml:space="preserve"> </w:t>
      </w:r>
    </w:p>
    <w:p w14:paraId="301F105C" w14:textId="4C4C2BB9" w:rsidR="00C060F1" w:rsidRPr="00C060F1" w:rsidRDefault="00575D02" w:rsidP="00C060F1">
      <w:pPr>
        <w:pStyle w:val="ListParagraph"/>
        <w:numPr>
          <w:ilvl w:val="0"/>
          <w:numId w:val="1"/>
        </w:numPr>
        <w:rPr>
          <w:rFonts w:asciiTheme="minorEastAsia" w:eastAsiaTheme="minorEastAsia" w:hAnsiTheme="minorEastAsia" w:cstheme="minorEastAsia"/>
          <w:sz w:val="22"/>
          <w:szCs w:val="22"/>
        </w:rPr>
      </w:pPr>
      <w:r w:rsidRPr="6DDE88AF">
        <w:rPr>
          <w:rFonts w:eastAsiaTheme="minorEastAsia"/>
          <w:sz w:val="22"/>
          <w:szCs w:val="22"/>
        </w:rPr>
        <w:t>Stakeholder recruitment and engagement to leverage a broader constituency</w:t>
      </w:r>
      <w:r w:rsidR="2FC2F0B6" w:rsidRPr="6DDE88AF">
        <w:rPr>
          <w:rFonts w:eastAsiaTheme="minorEastAsia"/>
          <w:sz w:val="22"/>
          <w:szCs w:val="22"/>
        </w:rPr>
        <w:t xml:space="preserve"> </w:t>
      </w:r>
      <w:r w:rsidRPr="6DDE88AF">
        <w:rPr>
          <w:rFonts w:eastAsiaTheme="minorEastAsia"/>
          <w:sz w:val="22"/>
          <w:szCs w:val="22"/>
        </w:rPr>
        <w:t>focused around issues for children and families.</w:t>
      </w:r>
      <w:r w:rsidR="15C3AF68" w:rsidRPr="6DDE88AF">
        <w:rPr>
          <w:rFonts w:eastAsiaTheme="minorEastAsia"/>
          <w:sz w:val="22"/>
          <w:szCs w:val="22"/>
        </w:rPr>
        <w:t xml:space="preserve"> </w:t>
      </w:r>
      <w:r w:rsidR="15C3AF68" w:rsidRPr="6DDE88AF">
        <w:rPr>
          <w:rFonts w:ascii="Calibri" w:eastAsia="Calibri" w:hAnsi="Calibri" w:cs="Calibri"/>
          <w:sz w:val="22"/>
          <w:szCs w:val="22"/>
        </w:rPr>
        <w:t>It should be noted this function could enhance the ability to garner local resources to support both services and infrastructure.</w:t>
      </w:r>
      <w:r w:rsidR="00251AA1" w:rsidRPr="6DDE88AF">
        <w:rPr>
          <w:rFonts w:eastAsiaTheme="minorEastAsia"/>
          <w:sz w:val="22"/>
          <w:szCs w:val="22"/>
        </w:rPr>
        <w:t xml:space="preserve">  </w:t>
      </w:r>
    </w:p>
    <w:p w14:paraId="380DDDD1" w14:textId="77777777" w:rsidR="00C060F1" w:rsidRDefault="00C060F1" w:rsidP="00C060F1">
      <w:pPr>
        <w:spacing w:after="0" w:line="240" w:lineRule="auto"/>
        <w:rPr>
          <w:rFonts w:eastAsiaTheme="minorEastAsia"/>
        </w:rPr>
      </w:pPr>
    </w:p>
    <w:p w14:paraId="22A2E99C" w14:textId="30EF8D00" w:rsidR="009815C0" w:rsidRPr="00C060F1" w:rsidRDefault="009147DF" w:rsidP="00C060F1">
      <w:pPr>
        <w:spacing w:line="240" w:lineRule="auto"/>
        <w:rPr>
          <w:rFonts w:asciiTheme="minorEastAsia" w:eastAsiaTheme="minorEastAsia" w:hAnsiTheme="minorEastAsia" w:cstheme="minorEastAsia"/>
        </w:rPr>
      </w:pPr>
      <w:r w:rsidRPr="00C060F1">
        <w:rPr>
          <w:rFonts w:eastAsiaTheme="minorEastAsia"/>
        </w:rPr>
        <w:t xml:space="preserve">In addition to providing local community collaborations adequate funding to execute the identified functions above, the state </w:t>
      </w:r>
      <w:r w:rsidR="68DD6D97" w:rsidRPr="00C060F1">
        <w:rPr>
          <w:rFonts w:eastAsiaTheme="minorEastAsia"/>
        </w:rPr>
        <w:t>should</w:t>
      </w:r>
      <w:r w:rsidRPr="00C060F1">
        <w:rPr>
          <w:rFonts w:eastAsiaTheme="minorEastAsia"/>
        </w:rPr>
        <w:t xml:space="preserve"> provide comprehensive supports</w:t>
      </w:r>
      <w:r w:rsidR="008B4719" w:rsidRPr="00C060F1">
        <w:rPr>
          <w:rFonts w:eastAsiaTheme="minorEastAsia"/>
        </w:rPr>
        <w:t xml:space="preserve"> to ensure communities make strong, data driven and equitable decisions. These supports would include</w:t>
      </w:r>
      <w:r w:rsidRPr="00C060F1">
        <w:rPr>
          <w:rFonts w:eastAsiaTheme="minorEastAsia"/>
        </w:rPr>
        <w:t xml:space="preserve"> capacity building, ongoing training and technical assistance, data sharing and the facilitation of feedback loops so that community collaborations can </w:t>
      </w:r>
      <w:r w:rsidR="008B4719" w:rsidRPr="00C060F1">
        <w:rPr>
          <w:rFonts w:eastAsiaTheme="minorEastAsia"/>
        </w:rPr>
        <w:t>achieve equitable outcomes for children and families in their area.</w:t>
      </w:r>
      <w:r w:rsidRPr="00C060F1">
        <w:rPr>
          <w:rFonts w:eastAsiaTheme="minorEastAsia"/>
        </w:rPr>
        <w:t xml:space="preserve"> These functions may live at the state level, or at some level between the state and communities.  They may be functions provided within government or through public-private partnerships, particularly around areas of specialized knowledge, skills</w:t>
      </w:r>
      <w:r w:rsidR="00042111">
        <w:rPr>
          <w:rFonts w:eastAsiaTheme="minorEastAsia"/>
        </w:rPr>
        <w:t>,</w:t>
      </w:r>
      <w:r w:rsidRPr="00C060F1">
        <w:rPr>
          <w:rFonts w:eastAsiaTheme="minorEastAsia"/>
        </w:rPr>
        <w:t xml:space="preserve"> or expertise. What is essential is that these kinds of </w:t>
      </w:r>
      <w:r w:rsidR="00A36E0D" w:rsidRPr="00C060F1">
        <w:rPr>
          <w:rFonts w:eastAsiaTheme="minorEastAsia"/>
        </w:rPr>
        <w:t xml:space="preserve">capacity building </w:t>
      </w:r>
      <w:r w:rsidRPr="00C060F1">
        <w:rPr>
          <w:rFonts w:eastAsiaTheme="minorEastAsia"/>
        </w:rPr>
        <w:t>supports are</w:t>
      </w:r>
      <w:r w:rsidR="00A36E0D" w:rsidRPr="00C060F1">
        <w:rPr>
          <w:rFonts w:eastAsiaTheme="minorEastAsia"/>
        </w:rPr>
        <w:t xml:space="preserve"> recognized</w:t>
      </w:r>
      <w:r w:rsidR="00800D78" w:rsidRPr="00C060F1">
        <w:rPr>
          <w:rFonts w:eastAsiaTheme="minorEastAsia"/>
        </w:rPr>
        <w:t xml:space="preserve"> as </w:t>
      </w:r>
      <w:r w:rsidRPr="00C060F1">
        <w:rPr>
          <w:rFonts w:eastAsiaTheme="minorEastAsia"/>
        </w:rPr>
        <w:t>an integral</w:t>
      </w:r>
      <w:r w:rsidR="79F2AB74" w:rsidRPr="00C060F1">
        <w:rPr>
          <w:rFonts w:eastAsiaTheme="minorEastAsia"/>
        </w:rPr>
        <w:t xml:space="preserve"> and ongoing </w:t>
      </w:r>
      <w:r w:rsidRPr="00C060F1">
        <w:rPr>
          <w:rFonts w:eastAsiaTheme="minorEastAsia"/>
        </w:rPr>
        <w:t xml:space="preserve">part of the </w:t>
      </w:r>
      <w:r w:rsidR="281BA58E" w:rsidRPr="00C060F1">
        <w:rPr>
          <w:rFonts w:eastAsiaTheme="minorEastAsia"/>
        </w:rPr>
        <w:t xml:space="preserve">funded </w:t>
      </w:r>
      <w:r w:rsidRPr="00C060F1">
        <w:rPr>
          <w:rFonts w:eastAsiaTheme="minorEastAsia"/>
        </w:rPr>
        <w:t>early childhood system and meaningfully connected to early childhood community collaborations.</w:t>
      </w:r>
    </w:p>
    <w:p w14:paraId="5ECED721" w14:textId="6854DA80" w:rsidR="000E3E4B" w:rsidRDefault="00323FCB" w:rsidP="00C060F1">
      <w:pPr>
        <w:spacing w:line="240" w:lineRule="auto"/>
        <w:rPr>
          <w:rFonts w:eastAsiaTheme="minorEastAsia"/>
        </w:rPr>
      </w:pPr>
      <w:r w:rsidRPr="43E40CBD">
        <w:rPr>
          <w:rFonts w:eastAsiaTheme="minorEastAsia"/>
        </w:rPr>
        <w:t xml:space="preserve">It should be noted that </w:t>
      </w:r>
      <w:r w:rsidR="007848B8" w:rsidRPr="43E40CBD">
        <w:rPr>
          <w:rFonts w:eastAsiaTheme="minorEastAsia"/>
        </w:rPr>
        <w:t xml:space="preserve">in our current system, </w:t>
      </w:r>
      <w:r w:rsidRPr="43E40CBD">
        <w:rPr>
          <w:rFonts w:eastAsiaTheme="minorEastAsia"/>
        </w:rPr>
        <w:t>some existing structures</w:t>
      </w:r>
      <w:r w:rsidR="00251AA1" w:rsidRPr="43E40CBD">
        <w:rPr>
          <w:rFonts w:eastAsiaTheme="minorEastAsia"/>
        </w:rPr>
        <w:t xml:space="preserve"> </w:t>
      </w:r>
      <w:r w:rsidRPr="43E40CBD">
        <w:rPr>
          <w:rFonts w:eastAsiaTheme="minorEastAsia"/>
        </w:rPr>
        <w:t xml:space="preserve">are </w:t>
      </w:r>
      <w:r w:rsidR="00561781" w:rsidRPr="43E40CBD">
        <w:rPr>
          <w:rFonts w:eastAsiaTheme="minorEastAsia"/>
        </w:rPr>
        <w:t xml:space="preserve">charged with </w:t>
      </w:r>
      <w:r w:rsidRPr="43E40CBD">
        <w:rPr>
          <w:rFonts w:eastAsiaTheme="minorEastAsia"/>
        </w:rPr>
        <w:t xml:space="preserve">performing all or some of these key functions in certain </w:t>
      </w:r>
      <w:r w:rsidR="00A36E0D" w:rsidRPr="43E40CBD">
        <w:rPr>
          <w:rFonts w:eastAsiaTheme="minorEastAsia"/>
        </w:rPr>
        <w:t xml:space="preserve">geographies </w:t>
      </w:r>
      <w:r w:rsidRPr="43E40CBD">
        <w:rPr>
          <w:rFonts w:eastAsiaTheme="minorEastAsia"/>
        </w:rPr>
        <w:t xml:space="preserve">across the state. </w:t>
      </w:r>
      <w:r w:rsidR="007848B8" w:rsidRPr="43E40CBD">
        <w:rPr>
          <w:rFonts w:eastAsiaTheme="minorEastAsia"/>
        </w:rPr>
        <w:t xml:space="preserve">Implications for these current infrastructure components will need to be </w:t>
      </w:r>
      <w:r w:rsidR="30C56B31" w:rsidRPr="43E40CBD">
        <w:rPr>
          <w:rFonts w:eastAsiaTheme="minorEastAsia"/>
        </w:rPr>
        <w:t>considered</w:t>
      </w:r>
      <w:r w:rsidR="007848B8" w:rsidRPr="43E40CBD">
        <w:rPr>
          <w:rFonts w:eastAsiaTheme="minorEastAsia"/>
        </w:rPr>
        <w:t xml:space="preserve">, but the work should begin with </w:t>
      </w:r>
      <w:r w:rsidRPr="43E40CBD">
        <w:rPr>
          <w:rFonts w:eastAsiaTheme="minorEastAsia"/>
        </w:rPr>
        <w:t xml:space="preserve">the functions and necessary support structure for </w:t>
      </w:r>
      <w:r w:rsidR="007848B8" w:rsidRPr="43E40CBD">
        <w:rPr>
          <w:rFonts w:eastAsiaTheme="minorEastAsia"/>
        </w:rPr>
        <w:t xml:space="preserve">effective </w:t>
      </w:r>
      <w:r w:rsidRPr="43E40CBD">
        <w:rPr>
          <w:rFonts w:eastAsiaTheme="minorEastAsia"/>
        </w:rPr>
        <w:t xml:space="preserve">community </w:t>
      </w:r>
      <w:r w:rsidR="00561781" w:rsidRPr="43E40CBD">
        <w:rPr>
          <w:rFonts w:eastAsiaTheme="minorEastAsia"/>
        </w:rPr>
        <w:t>systems.</w:t>
      </w:r>
      <w:r w:rsidRPr="43E40CBD">
        <w:rPr>
          <w:rFonts w:eastAsiaTheme="minorEastAsia"/>
        </w:rPr>
        <w:t xml:space="preserve"> </w:t>
      </w:r>
    </w:p>
    <w:p w14:paraId="52B1DBEA" w14:textId="4C21E201" w:rsidR="009147DF" w:rsidRDefault="009147DF" w:rsidP="00C060F1">
      <w:pPr>
        <w:spacing w:after="0" w:line="240" w:lineRule="auto"/>
        <w:rPr>
          <w:b/>
          <w:bCs/>
        </w:rPr>
      </w:pPr>
      <w:r w:rsidRPr="0072492F">
        <w:rPr>
          <w:b/>
          <w:bCs/>
        </w:rPr>
        <w:t xml:space="preserve">Visualizing a potential </w:t>
      </w:r>
      <w:r w:rsidR="00C53F91">
        <w:rPr>
          <w:b/>
          <w:bCs/>
        </w:rPr>
        <w:t>structure that incorporates community systems</w:t>
      </w:r>
    </w:p>
    <w:p w14:paraId="6130EFAA" w14:textId="4B541B12" w:rsidR="002F5097" w:rsidRDefault="002F5097" w:rsidP="0072492F">
      <w:pPr>
        <w:spacing w:after="0"/>
      </w:pPr>
      <w:r>
        <w:rPr>
          <w:noProof/>
        </w:rPr>
        <w:drawing>
          <wp:inline distT="0" distB="0" distL="0" distR="0" wp14:anchorId="749F4F29" wp14:editId="451F4732">
            <wp:extent cx="5778500" cy="319978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5790322" cy="3206329"/>
                    </a:xfrm>
                    <a:prstGeom prst="rect">
                      <a:avLst/>
                    </a:prstGeom>
                  </pic:spPr>
                </pic:pic>
              </a:graphicData>
            </a:graphic>
          </wp:inline>
        </w:drawing>
      </w:r>
    </w:p>
    <w:p w14:paraId="4C5D7A99" w14:textId="541A34BF" w:rsidR="33681D96" w:rsidRDefault="33681D96" w:rsidP="33681D96">
      <w:pPr>
        <w:jc w:val="right"/>
      </w:pPr>
    </w:p>
    <w:p w14:paraId="5FE36754" w14:textId="236223C6" w:rsidR="33681D96" w:rsidRPr="00476F4C" w:rsidRDefault="001D3145" w:rsidP="002E7EEA">
      <w:pPr>
        <w:rPr>
          <w:i/>
          <w:iCs/>
        </w:rPr>
      </w:pPr>
      <w:r w:rsidRPr="00476F4C">
        <w:rPr>
          <w:i/>
          <w:iCs/>
        </w:rPr>
        <w:t>This document has been developed by t</w:t>
      </w:r>
      <w:r w:rsidR="006B40F7" w:rsidRPr="00476F4C">
        <w:rPr>
          <w:i/>
          <w:iCs/>
        </w:rPr>
        <w:t>he Ounce</w:t>
      </w:r>
      <w:r w:rsidR="001C26C9">
        <w:rPr>
          <w:i/>
          <w:iCs/>
        </w:rPr>
        <w:t xml:space="preserve"> of Prevention</w:t>
      </w:r>
      <w:r w:rsidR="006B40F7" w:rsidRPr="00476F4C">
        <w:rPr>
          <w:i/>
          <w:iCs/>
        </w:rPr>
        <w:t xml:space="preserve">, in consultation with </w:t>
      </w:r>
      <w:r w:rsidR="005112AE">
        <w:rPr>
          <w:i/>
          <w:iCs/>
        </w:rPr>
        <w:t xml:space="preserve">the </w:t>
      </w:r>
      <w:r w:rsidR="006B40F7" w:rsidRPr="00476F4C">
        <w:rPr>
          <w:i/>
          <w:iCs/>
        </w:rPr>
        <w:t>Early Learning Lead</w:t>
      </w:r>
      <w:r w:rsidR="007A3959" w:rsidRPr="00476F4C">
        <w:rPr>
          <w:i/>
          <w:iCs/>
        </w:rPr>
        <w:t>ership Circle</w:t>
      </w:r>
      <w:r w:rsidR="006668DB">
        <w:rPr>
          <w:i/>
          <w:iCs/>
        </w:rPr>
        <w:t xml:space="preserve"> funded by the Grand Victoria Foundation</w:t>
      </w:r>
      <w:bookmarkStart w:id="0" w:name="_GoBack"/>
      <w:bookmarkEnd w:id="0"/>
      <w:r w:rsidR="007A3959" w:rsidRPr="00476F4C">
        <w:rPr>
          <w:i/>
          <w:iCs/>
        </w:rPr>
        <w:t xml:space="preserve"> and Illinois Action for Children. </w:t>
      </w:r>
    </w:p>
    <w:sectPr w:rsidR="33681D96" w:rsidRPr="00476F4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65466" w14:textId="77777777" w:rsidR="00F94282" w:rsidRDefault="00F94282" w:rsidP="001D3145">
      <w:pPr>
        <w:spacing w:after="0" w:line="240" w:lineRule="auto"/>
      </w:pPr>
      <w:r>
        <w:separator/>
      </w:r>
    </w:p>
  </w:endnote>
  <w:endnote w:type="continuationSeparator" w:id="0">
    <w:p w14:paraId="3F9B1BDB" w14:textId="77777777" w:rsidR="00F94282" w:rsidRDefault="00F94282" w:rsidP="001D3145">
      <w:pPr>
        <w:spacing w:after="0" w:line="240" w:lineRule="auto"/>
      </w:pPr>
      <w:r>
        <w:continuationSeparator/>
      </w:r>
    </w:p>
  </w:endnote>
  <w:endnote w:type="continuationNotice" w:id="1">
    <w:p w14:paraId="5B7EA4B5" w14:textId="77777777" w:rsidR="00F94282" w:rsidRDefault="00F94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2780" w14:textId="219AB665" w:rsidR="001D3145" w:rsidRDefault="00517BA2">
    <w:pPr>
      <w:pStyle w:val="Footer"/>
    </w:pPr>
    <w:r>
      <w:fldChar w:fldCharType="begin"/>
    </w:r>
    <w:r>
      <w:instrText xml:space="preserve"> DATE \@ "M/d/yyyy" </w:instrText>
    </w:r>
    <w:r>
      <w:fldChar w:fldCharType="separate"/>
    </w:r>
    <w:r w:rsidR="006668DB">
      <w:rPr>
        <w:noProof/>
      </w:rPr>
      <w:t>9/25/2020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CC66A" w14:textId="77777777" w:rsidR="00F94282" w:rsidRDefault="00F94282" w:rsidP="001D3145">
      <w:pPr>
        <w:spacing w:after="0" w:line="240" w:lineRule="auto"/>
      </w:pPr>
      <w:r>
        <w:separator/>
      </w:r>
    </w:p>
  </w:footnote>
  <w:footnote w:type="continuationSeparator" w:id="0">
    <w:p w14:paraId="624C601E" w14:textId="77777777" w:rsidR="00F94282" w:rsidRDefault="00F94282" w:rsidP="001D3145">
      <w:pPr>
        <w:spacing w:after="0" w:line="240" w:lineRule="auto"/>
      </w:pPr>
      <w:r>
        <w:continuationSeparator/>
      </w:r>
    </w:p>
  </w:footnote>
  <w:footnote w:type="continuationNotice" w:id="1">
    <w:p w14:paraId="366B84AB" w14:textId="77777777" w:rsidR="00F94282" w:rsidRDefault="00F942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254941"/>
      <w:docPartObj>
        <w:docPartGallery w:val="Watermarks"/>
        <w:docPartUnique/>
      </w:docPartObj>
    </w:sdtPr>
    <w:sdtEndPr/>
    <w:sdtContent>
      <w:p w14:paraId="60F31DA2" w14:textId="0AD46047" w:rsidR="001D3145" w:rsidRDefault="006668DB">
        <w:pPr>
          <w:pStyle w:val="Header"/>
        </w:pPr>
        <w:r>
          <w:rPr>
            <w:noProof/>
          </w:rPr>
          <w:pict w14:anchorId="77883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A5AC1"/>
    <w:multiLevelType w:val="hybridMultilevel"/>
    <w:tmpl w:val="CEDC7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595BD5"/>
    <w:multiLevelType w:val="hybridMultilevel"/>
    <w:tmpl w:val="79F4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478"/>
    <w:rsid w:val="00042111"/>
    <w:rsid w:val="000506FF"/>
    <w:rsid w:val="00060BC0"/>
    <w:rsid w:val="00084D61"/>
    <w:rsid w:val="000A62B7"/>
    <w:rsid w:val="000B69E0"/>
    <w:rsid w:val="000E3E4B"/>
    <w:rsid w:val="000E4B85"/>
    <w:rsid w:val="00133EC4"/>
    <w:rsid w:val="00144CF9"/>
    <w:rsid w:val="00150ADC"/>
    <w:rsid w:val="00183C7B"/>
    <w:rsid w:val="001C26C9"/>
    <w:rsid w:val="001C5D3E"/>
    <w:rsid w:val="001D3145"/>
    <w:rsid w:val="001F47CC"/>
    <w:rsid w:val="001F62E5"/>
    <w:rsid w:val="00226DCE"/>
    <w:rsid w:val="002343C7"/>
    <w:rsid w:val="00251AA1"/>
    <w:rsid w:val="002566ED"/>
    <w:rsid w:val="00297C53"/>
    <w:rsid w:val="002C1E45"/>
    <w:rsid w:val="002E3EFD"/>
    <w:rsid w:val="002E7EEA"/>
    <w:rsid w:val="002F5097"/>
    <w:rsid w:val="00311772"/>
    <w:rsid w:val="00316274"/>
    <w:rsid w:val="0031747D"/>
    <w:rsid w:val="00323FCB"/>
    <w:rsid w:val="0044783C"/>
    <w:rsid w:val="0047622E"/>
    <w:rsid w:val="00476F4C"/>
    <w:rsid w:val="004C5478"/>
    <w:rsid w:val="004F32DA"/>
    <w:rsid w:val="00507F35"/>
    <w:rsid w:val="005112AE"/>
    <w:rsid w:val="00517BA2"/>
    <w:rsid w:val="0052770B"/>
    <w:rsid w:val="00561781"/>
    <w:rsid w:val="00575D02"/>
    <w:rsid w:val="00600261"/>
    <w:rsid w:val="00643335"/>
    <w:rsid w:val="00646BE7"/>
    <w:rsid w:val="006668DB"/>
    <w:rsid w:val="006801C2"/>
    <w:rsid w:val="006968AC"/>
    <w:rsid w:val="006A6C4F"/>
    <w:rsid w:val="006B40F7"/>
    <w:rsid w:val="006B659C"/>
    <w:rsid w:val="006F2303"/>
    <w:rsid w:val="007220B2"/>
    <w:rsid w:val="0072492F"/>
    <w:rsid w:val="007256E3"/>
    <w:rsid w:val="00773A5A"/>
    <w:rsid w:val="007848B8"/>
    <w:rsid w:val="00797D8B"/>
    <w:rsid w:val="007A179A"/>
    <w:rsid w:val="007A3959"/>
    <w:rsid w:val="007C76B1"/>
    <w:rsid w:val="007F7489"/>
    <w:rsid w:val="00800D78"/>
    <w:rsid w:val="008126C1"/>
    <w:rsid w:val="00814B1F"/>
    <w:rsid w:val="00815A28"/>
    <w:rsid w:val="0089106D"/>
    <w:rsid w:val="008B4719"/>
    <w:rsid w:val="008C4AD4"/>
    <w:rsid w:val="008D0EA4"/>
    <w:rsid w:val="008D4B52"/>
    <w:rsid w:val="009147DF"/>
    <w:rsid w:val="00933D06"/>
    <w:rsid w:val="00940E19"/>
    <w:rsid w:val="009815C0"/>
    <w:rsid w:val="009C7B7B"/>
    <w:rsid w:val="009E2369"/>
    <w:rsid w:val="009E5C01"/>
    <w:rsid w:val="009F2FE0"/>
    <w:rsid w:val="00A01844"/>
    <w:rsid w:val="00A0490E"/>
    <w:rsid w:val="00A215FE"/>
    <w:rsid w:val="00A36E0D"/>
    <w:rsid w:val="00A40317"/>
    <w:rsid w:val="00A51EAE"/>
    <w:rsid w:val="00A710FB"/>
    <w:rsid w:val="00A87E83"/>
    <w:rsid w:val="00A9680F"/>
    <w:rsid w:val="00AB24C3"/>
    <w:rsid w:val="00AD6BD3"/>
    <w:rsid w:val="00AD7332"/>
    <w:rsid w:val="00AE2AE3"/>
    <w:rsid w:val="00AF0910"/>
    <w:rsid w:val="00AF2A0A"/>
    <w:rsid w:val="00B17D2D"/>
    <w:rsid w:val="00B56449"/>
    <w:rsid w:val="00BB46F4"/>
    <w:rsid w:val="00BD02D0"/>
    <w:rsid w:val="00BF3E96"/>
    <w:rsid w:val="00C03466"/>
    <w:rsid w:val="00C060F1"/>
    <w:rsid w:val="00C315BA"/>
    <w:rsid w:val="00C41A34"/>
    <w:rsid w:val="00C53F91"/>
    <w:rsid w:val="00C55935"/>
    <w:rsid w:val="00C56B41"/>
    <w:rsid w:val="00C963BF"/>
    <w:rsid w:val="00D06B6C"/>
    <w:rsid w:val="00D171F6"/>
    <w:rsid w:val="00D31208"/>
    <w:rsid w:val="00D51BA6"/>
    <w:rsid w:val="00DB344F"/>
    <w:rsid w:val="00DE4910"/>
    <w:rsid w:val="00DF1B34"/>
    <w:rsid w:val="00E06837"/>
    <w:rsid w:val="00E76369"/>
    <w:rsid w:val="00EC2B55"/>
    <w:rsid w:val="00F33E86"/>
    <w:rsid w:val="00F94282"/>
    <w:rsid w:val="00F945BE"/>
    <w:rsid w:val="00FA2ADC"/>
    <w:rsid w:val="050C92E4"/>
    <w:rsid w:val="062C3863"/>
    <w:rsid w:val="06ABDFF0"/>
    <w:rsid w:val="0711465E"/>
    <w:rsid w:val="09319B60"/>
    <w:rsid w:val="099EF86B"/>
    <w:rsid w:val="0D33F0A5"/>
    <w:rsid w:val="0D9267F8"/>
    <w:rsid w:val="123B1FB2"/>
    <w:rsid w:val="15C3AF68"/>
    <w:rsid w:val="16918D2F"/>
    <w:rsid w:val="1932202B"/>
    <w:rsid w:val="1AFD6D69"/>
    <w:rsid w:val="1BAEA98C"/>
    <w:rsid w:val="1BCF1945"/>
    <w:rsid w:val="2130E8A9"/>
    <w:rsid w:val="218EB938"/>
    <w:rsid w:val="219C1646"/>
    <w:rsid w:val="22019AF3"/>
    <w:rsid w:val="226B0DA6"/>
    <w:rsid w:val="24B8B1BF"/>
    <w:rsid w:val="281BA58E"/>
    <w:rsid w:val="2E101AD0"/>
    <w:rsid w:val="2F64B18C"/>
    <w:rsid w:val="2FC2F0B6"/>
    <w:rsid w:val="30C56B31"/>
    <w:rsid w:val="30EB758C"/>
    <w:rsid w:val="33681D96"/>
    <w:rsid w:val="36088A5B"/>
    <w:rsid w:val="38622D7C"/>
    <w:rsid w:val="39D7E0ED"/>
    <w:rsid w:val="40C93FF8"/>
    <w:rsid w:val="43327CF4"/>
    <w:rsid w:val="43E40CBD"/>
    <w:rsid w:val="440371EF"/>
    <w:rsid w:val="44EC3C4D"/>
    <w:rsid w:val="46EED88B"/>
    <w:rsid w:val="488F0B20"/>
    <w:rsid w:val="4F81519D"/>
    <w:rsid w:val="55EB7DC7"/>
    <w:rsid w:val="5CBE028D"/>
    <w:rsid w:val="5F4FDCF7"/>
    <w:rsid w:val="6148184A"/>
    <w:rsid w:val="63B88EF4"/>
    <w:rsid w:val="65C7EF6D"/>
    <w:rsid w:val="68DD6D97"/>
    <w:rsid w:val="6A52D454"/>
    <w:rsid w:val="6A957140"/>
    <w:rsid w:val="6DD9D49D"/>
    <w:rsid w:val="6DDE88AF"/>
    <w:rsid w:val="6DF30218"/>
    <w:rsid w:val="6F92767B"/>
    <w:rsid w:val="70C6F646"/>
    <w:rsid w:val="745771AC"/>
    <w:rsid w:val="74ACD1C6"/>
    <w:rsid w:val="74B71E0F"/>
    <w:rsid w:val="757EEFBC"/>
    <w:rsid w:val="75C0861F"/>
    <w:rsid w:val="79F2AB74"/>
    <w:rsid w:val="7AF11BFD"/>
    <w:rsid w:val="7B98E1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3AA872"/>
  <w15:chartTrackingRefBased/>
  <w15:docId w15:val="{BA3B5B6A-F107-4256-8E00-67F5ABB79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4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E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E45"/>
    <w:rPr>
      <w:rFonts w:ascii="Segoe UI" w:hAnsi="Segoe UI" w:cs="Segoe UI"/>
      <w:sz w:val="18"/>
      <w:szCs w:val="18"/>
    </w:rPr>
  </w:style>
  <w:style w:type="paragraph" w:styleId="CommentText">
    <w:name w:val="annotation text"/>
    <w:basedOn w:val="Normal"/>
    <w:link w:val="CommentTextChar"/>
    <w:uiPriority w:val="99"/>
    <w:unhideWhenUsed/>
    <w:rsid w:val="002C1E45"/>
    <w:pPr>
      <w:spacing w:after="0" w:line="240" w:lineRule="auto"/>
    </w:pPr>
    <w:rPr>
      <w:sz w:val="20"/>
      <w:szCs w:val="20"/>
    </w:rPr>
  </w:style>
  <w:style w:type="character" w:customStyle="1" w:styleId="CommentTextChar">
    <w:name w:val="Comment Text Char"/>
    <w:basedOn w:val="DefaultParagraphFont"/>
    <w:link w:val="CommentText"/>
    <w:uiPriority w:val="99"/>
    <w:rsid w:val="002C1E45"/>
    <w:rPr>
      <w:sz w:val="20"/>
      <w:szCs w:val="20"/>
    </w:rPr>
  </w:style>
  <w:style w:type="character" w:styleId="CommentReference">
    <w:name w:val="annotation reference"/>
    <w:basedOn w:val="DefaultParagraphFont"/>
    <w:uiPriority w:val="99"/>
    <w:semiHidden/>
    <w:unhideWhenUsed/>
    <w:rsid w:val="002C1E45"/>
    <w:rPr>
      <w:sz w:val="16"/>
      <w:szCs w:val="16"/>
    </w:rPr>
  </w:style>
  <w:style w:type="paragraph" w:styleId="ListParagraph">
    <w:name w:val="List Paragraph"/>
    <w:basedOn w:val="Normal"/>
    <w:uiPriority w:val="34"/>
    <w:qFormat/>
    <w:rsid w:val="00133EC4"/>
    <w:pPr>
      <w:spacing w:after="0" w:line="240" w:lineRule="auto"/>
      <w:ind w:left="720"/>
      <w:contextualSpacing/>
    </w:pPr>
    <w:rPr>
      <w:sz w:val="24"/>
      <w:szCs w:val="24"/>
    </w:rPr>
  </w:style>
  <w:style w:type="paragraph" w:styleId="CommentSubject">
    <w:name w:val="annotation subject"/>
    <w:basedOn w:val="CommentText"/>
    <w:next w:val="CommentText"/>
    <w:link w:val="CommentSubjectChar"/>
    <w:uiPriority w:val="99"/>
    <w:semiHidden/>
    <w:unhideWhenUsed/>
    <w:rsid w:val="007256E3"/>
    <w:pPr>
      <w:spacing w:after="160"/>
    </w:pPr>
    <w:rPr>
      <w:b/>
      <w:bCs/>
    </w:rPr>
  </w:style>
  <w:style w:type="character" w:customStyle="1" w:styleId="CommentSubjectChar">
    <w:name w:val="Comment Subject Char"/>
    <w:basedOn w:val="CommentTextChar"/>
    <w:link w:val="CommentSubject"/>
    <w:uiPriority w:val="99"/>
    <w:semiHidden/>
    <w:rsid w:val="007256E3"/>
    <w:rPr>
      <w:b/>
      <w:bCs/>
      <w:sz w:val="20"/>
      <w:szCs w:val="20"/>
    </w:rPr>
  </w:style>
  <w:style w:type="paragraph" w:styleId="Revision">
    <w:name w:val="Revision"/>
    <w:hidden/>
    <w:uiPriority w:val="99"/>
    <w:semiHidden/>
    <w:rsid w:val="00D31208"/>
    <w:pPr>
      <w:spacing w:after="0" w:line="240" w:lineRule="auto"/>
    </w:pPr>
  </w:style>
  <w:style w:type="paragraph" w:styleId="Header">
    <w:name w:val="header"/>
    <w:basedOn w:val="Normal"/>
    <w:link w:val="HeaderChar"/>
    <w:uiPriority w:val="99"/>
    <w:unhideWhenUsed/>
    <w:rsid w:val="001D3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145"/>
  </w:style>
  <w:style w:type="paragraph" w:styleId="Footer">
    <w:name w:val="footer"/>
    <w:basedOn w:val="Normal"/>
    <w:link w:val="FooterChar"/>
    <w:uiPriority w:val="99"/>
    <w:unhideWhenUsed/>
    <w:rsid w:val="001D3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39551">
      <w:bodyDiv w:val="1"/>
      <w:marLeft w:val="0"/>
      <w:marRight w:val="0"/>
      <w:marTop w:val="0"/>
      <w:marBottom w:val="0"/>
      <w:divBdr>
        <w:top w:val="none" w:sz="0" w:space="0" w:color="auto"/>
        <w:left w:val="none" w:sz="0" w:space="0" w:color="auto"/>
        <w:bottom w:val="none" w:sz="0" w:space="0" w:color="auto"/>
        <w:right w:val="none" w:sz="0" w:space="0" w:color="auto"/>
      </w:divBdr>
    </w:div>
    <w:div w:id="905648588">
      <w:bodyDiv w:val="1"/>
      <w:marLeft w:val="0"/>
      <w:marRight w:val="0"/>
      <w:marTop w:val="0"/>
      <w:marBottom w:val="0"/>
      <w:divBdr>
        <w:top w:val="none" w:sz="0" w:space="0" w:color="auto"/>
        <w:left w:val="none" w:sz="0" w:space="0" w:color="auto"/>
        <w:bottom w:val="none" w:sz="0" w:space="0" w:color="auto"/>
        <w:right w:val="none" w:sz="0" w:space="0" w:color="auto"/>
      </w:divBdr>
      <w:divsChild>
        <w:div w:id="1071268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CEF920042559439E2FB16F84099597" ma:contentTypeVersion="12" ma:contentTypeDescription="Create a new document." ma:contentTypeScope="" ma:versionID="b032e186367441967cd647baada0a416">
  <xsd:schema xmlns:xsd="http://www.w3.org/2001/XMLSchema" xmlns:xs="http://www.w3.org/2001/XMLSchema" xmlns:p="http://schemas.microsoft.com/office/2006/metadata/properties" xmlns:ns2="98c63eb2-7c00-4363-a018-55a1dcfbd164" xmlns:ns3="ef148e2e-c296-47ea-ac97-8d4b11181196" targetNamespace="http://schemas.microsoft.com/office/2006/metadata/properties" ma:root="true" ma:fieldsID="b752128554be90857c2ba126e1afb038" ns2:_="" ns3:_="">
    <xsd:import namespace="98c63eb2-7c00-4363-a018-55a1dcfbd164"/>
    <xsd:import namespace="ef148e2e-c296-47ea-ac97-8d4b111811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63eb2-7c00-4363-a018-55a1dcfbd1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148e2e-c296-47ea-ac97-8d4b1118119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33FFBF-34C9-44E5-B678-003AD2BA1830}">
  <ds:schemaRefs>
    <ds:schemaRef ds:uri="http://schemas.microsoft.com/sharepoint/v3/contenttype/forms"/>
  </ds:schemaRefs>
</ds:datastoreItem>
</file>

<file path=customXml/itemProps2.xml><?xml version="1.0" encoding="utf-8"?>
<ds:datastoreItem xmlns:ds="http://schemas.openxmlformats.org/officeDocument/2006/customXml" ds:itemID="{0DA21599-3748-4407-9955-C2EDC8C6FA59}">
  <ds:schemaRefs>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ef148e2e-c296-47ea-ac97-8d4b11181196"/>
    <ds:schemaRef ds:uri="98c63eb2-7c00-4363-a018-55a1dcfbd164"/>
  </ds:schemaRefs>
</ds:datastoreItem>
</file>

<file path=customXml/itemProps3.xml><?xml version="1.0" encoding="utf-8"?>
<ds:datastoreItem xmlns:ds="http://schemas.openxmlformats.org/officeDocument/2006/customXml" ds:itemID="{E5395237-A9FC-4F7F-B323-4BB8BD689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c63eb2-7c00-4363-a018-55a1dcfbd164"/>
    <ds:schemaRef ds:uri="ef148e2e-c296-47ea-ac97-8d4b111811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5268</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Marable, Bryce</dc:creator>
  <cp:keywords/>
  <dc:description/>
  <cp:lastModifiedBy>Trish Rooney</cp:lastModifiedBy>
  <cp:revision>2</cp:revision>
  <dcterms:created xsi:type="dcterms:W3CDTF">2020-09-26T00:25:00Z</dcterms:created>
  <dcterms:modified xsi:type="dcterms:W3CDTF">2020-09-26T00:25:00Z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0x0101001FCEF920042559439E2FB16F84099597</vt:lpwstr>
  </property>
</Properties>
</file>